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9A9" w:rsidRDefault="000E7DCF">
      <w:pPr>
        <w:rPr>
          <w:b/>
          <w:sz w:val="28"/>
          <w:u w:val="single"/>
        </w:rPr>
      </w:pPr>
      <w:bookmarkStart w:id="0" w:name="_GoBack"/>
      <w:bookmarkEnd w:id="0"/>
      <w:r>
        <w:rPr>
          <w:b/>
          <w:sz w:val="28"/>
          <w:u w:val="single"/>
        </w:rPr>
        <w:t>Information Notice</w:t>
      </w:r>
    </w:p>
    <w:p w:rsidR="008529A9" w:rsidRDefault="008529A9">
      <w:pPr>
        <w:rPr>
          <w:b/>
          <w:sz w:val="24"/>
        </w:rPr>
      </w:pPr>
    </w:p>
    <w:p w:rsidR="008529A9" w:rsidRDefault="008529A9">
      <w:pPr>
        <w:rPr>
          <w:b/>
          <w:sz w:val="24"/>
        </w:rPr>
      </w:pPr>
    </w:p>
    <w:p w:rsidR="008529A9" w:rsidRDefault="00235BE4">
      <w:pPr>
        <w:ind w:left="2835" w:hanging="2835"/>
        <w:rPr>
          <w:b/>
          <w:sz w:val="24"/>
        </w:rPr>
      </w:pPr>
      <w:r>
        <w:rPr>
          <w:b/>
          <w:sz w:val="24"/>
        </w:rPr>
        <w:t>Act Title</w:t>
      </w:r>
      <w:r w:rsidR="000E7DCF">
        <w:rPr>
          <w:b/>
          <w:sz w:val="24"/>
        </w:rPr>
        <w:tab/>
      </w:r>
      <w:bookmarkStart w:id="1" w:name="Acttitle"/>
      <w:r w:rsidR="00C42424">
        <w:rPr>
          <w:b/>
          <w:sz w:val="24"/>
        </w:rPr>
        <w:t>Road Management Act 2004</w:t>
      </w:r>
    </w:p>
    <w:bookmarkEnd w:id="1"/>
    <w:p w:rsidR="008529A9" w:rsidRDefault="008529A9">
      <w:pPr>
        <w:tabs>
          <w:tab w:val="left" w:pos="2835"/>
          <w:tab w:val="right" w:pos="3060"/>
        </w:tabs>
        <w:rPr>
          <w:b/>
          <w:sz w:val="24"/>
        </w:rPr>
      </w:pPr>
    </w:p>
    <w:p w:rsidR="008529A9" w:rsidRDefault="000E7DCF">
      <w:pPr>
        <w:ind w:left="2835" w:hanging="2835"/>
        <w:rPr>
          <w:b/>
          <w:sz w:val="24"/>
        </w:rPr>
      </w:pPr>
      <w:r>
        <w:rPr>
          <w:b/>
          <w:sz w:val="24"/>
        </w:rPr>
        <w:t>Information Title:</w:t>
      </w:r>
      <w:r>
        <w:rPr>
          <w:b/>
          <w:sz w:val="24"/>
        </w:rPr>
        <w:tab/>
      </w:r>
      <w:bookmarkStart w:id="2" w:name="INTitle"/>
      <w:r w:rsidR="00235BE4">
        <w:rPr>
          <w:b/>
          <w:sz w:val="24"/>
        </w:rPr>
        <w:t>Correction</w:t>
      </w:r>
    </w:p>
    <w:bookmarkEnd w:id="2"/>
    <w:p w:rsidR="008529A9" w:rsidRDefault="008529A9">
      <w:pPr>
        <w:tabs>
          <w:tab w:val="left" w:pos="2835"/>
          <w:tab w:val="right" w:pos="3060"/>
        </w:tabs>
        <w:rPr>
          <w:b/>
          <w:sz w:val="24"/>
        </w:rPr>
      </w:pPr>
    </w:p>
    <w:p w:rsidR="008529A9" w:rsidRDefault="000E7DCF">
      <w:pPr>
        <w:ind w:left="2835" w:hanging="2835"/>
        <w:rPr>
          <w:b/>
          <w:sz w:val="24"/>
        </w:rPr>
      </w:pPr>
      <w:r>
        <w:rPr>
          <w:b/>
          <w:sz w:val="24"/>
        </w:rPr>
        <w:t>Version:</w:t>
      </w:r>
      <w:r>
        <w:rPr>
          <w:b/>
          <w:sz w:val="24"/>
        </w:rPr>
        <w:tab/>
      </w:r>
      <w:bookmarkStart w:id="3" w:name="ActRevision"/>
      <w:r w:rsidR="00C55F77">
        <w:rPr>
          <w:b/>
          <w:sz w:val="24"/>
        </w:rPr>
        <w:t>0</w:t>
      </w:r>
      <w:r w:rsidR="005C3649">
        <w:rPr>
          <w:b/>
          <w:sz w:val="24"/>
        </w:rPr>
        <w:t>42</w:t>
      </w:r>
    </w:p>
    <w:bookmarkEnd w:id="3"/>
    <w:p w:rsidR="008529A9" w:rsidRDefault="008529A9">
      <w:pPr>
        <w:pBdr>
          <w:bottom w:val="single" w:sz="6" w:space="1" w:color="auto"/>
        </w:pBdr>
        <w:rPr>
          <w:sz w:val="24"/>
        </w:rPr>
      </w:pPr>
    </w:p>
    <w:p w:rsidR="007F65BB" w:rsidRDefault="007F65BB" w:rsidP="00C55F77">
      <w:pPr>
        <w:rPr>
          <w:sz w:val="24"/>
        </w:rPr>
      </w:pPr>
    </w:p>
    <w:p w:rsidR="007F65BB" w:rsidRDefault="00C925E2" w:rsidP="00C55F77">
      <w:pPr>
        <w:rPr>
          <w:sz w:val="24"/>
        </w:rPr>
      </w:pPr>
      <w:r>
        <w:rPr>
          <w:sz w:val="24"/>
        </w:rPr>
        <w:t xml:space="preserve">In </w:t>
      </w:r>
      <w:r w:rsidR="00B66087">
        <w:rPr>
          <w:sz w:val="24"/>
        </w:rPr>
        <w:t xml:space="preserve">Schedule </w:t>
      </w:r>
      <w:proofErr w:type="spellStart"/>
      <w:r w:rsidR="00B66087">
        <w:rPr>
          <w:sz w:val="24"/>
        </w:rPr>
        <w:t>7A</w:t>
      </w:r>
      <w:proofErr w:type="spellEnd"/>
      <w:r w:rsidR="00B66087">
        <w:rPr>
          <w:sz w:val="24"/>
        </w:rPr>
        <w:t xml:space="preserve"> for</w:t>
      </w:r>
      <w:r w:rsidR="007F65BB">
        <w:rPr>
          <w:sz w:val="24"/>
        </w:rPr>
        <w:t>:</w:t>
      </w:r>
    </w:p>
    <w:p w:rsidR="00B66087" w:rsidRPr="009C76AB" w:rsidRDefault="00B66087" w:rsidP="00C55F77">
      <w:pPr>
        <w:rPr>
          <w:sz w:val="24"/>
        </w:rPr>
      </w:pPr>
    </w:p>
    <w:p w:rsidR="003218FC" w:rsidRDefault="003218FC" w:rsidP="003218FC">
      <w:pPr>
        <w:pStyle w:val="DraftHeading1"/>
        <w:tabs>
          <w:tab w:val="right" w:pos="680"/>
        </w:tabs>
        <w:ind w:left="850" w:hanging="850"/>
      </w:pPr>
      <w:r w:rsidRPr="009C76AB">
        <w:rPr>
          <w:b w:val="0"/>
        </w:rPr>
        <w:tab/>
      </w:r>
      <w:bookmarkStart w:id="4" w:name="_Toc26533977"/>
      <w:r w:rsidRPr="003218FC">
        <w:rPr>
          <w:b w:val="0"/>
        </w:rPr>
        <w:t>"</w:t>
      </w:r>
      <w:r w:rsidRPr="00E84C0C">
        <w:t>4</w:t>
      </w:r>
      <w:r>
        <w:tab/>
        <w:t>Transitional provisions—cost allocation tables for arterial roads</w:t>
      </w:r>
      <w:bookmarkEnd w:id="4"/>
    </w:p>
    <w:p w:rsidR="003218FC" w:rsidRDefault="003218FC" w:rsidP="003218FC">
      <w:pPr>
        <w:pStyle w:val="DraftHeading2"/>
        <w:tabs>
          <w:tab w:val="right" w:pos="1247"/>
        </w:tabs>
        <w:ind w:left="1361" w:hanging="1361"/>
      </w:pPr>
      <w:r>
        <w:tab/>
      </w:r>
      <w:r w:rsidRPr="00E84C0C">
        <w:t>(1)</w:t>
      </w:r>
      <w:r>
        <w:tab/>
        <w:t xml:space="preserve">In this clause </w:t>
      </w:r>
      <w:r>
        <w:rPr>
          <w:b/>
          <w:i/>
        </w:rPr>
        <w:t xml:space="preserve">Street Lighting Committee </w:t>
      </w:r>
      <w:r>
        <w:t xml:space="preserve">means the Street Lighting Committee referred to in Schedule 5 of the </w:t>
      </w:r>
      <w:r>
        <w:rPr>
          <w:b/>
        </w:rPr>
        <w:t>Transport Act 1983</w:t>
      </w:r>
      <w:r>
        <w:t xml:space="preserve"> before the repeal of that Schedule by the </w:t>
      </w:r>
      <w:r>
        <w:rPr>
          <w:b/>
        </w:rPr>
        <w:t>Road Legislation Further Amendment Act 2007</w:t>
      </w:r>
      <w:r>
        <w:t>.</w:t>
      </w:r>
    </w:p>
    <w:p w:rsidR="003218FC" w:rsidRPr="00243D96" w:rsidRDefault="003218FC" w:rsidP="003218FC">
      <w:pPr>
        <w:pStyle w:val="DraftHeading2"/>
        <w:tabs>
          <w:tab w:val="right" w:pos="1247"/>
        </w:tabs>
        <w:ind w:left="1361" w:hanging="1361"/>
      </w:pPr>
      <w:r>
        <w:tab/>
      </w:r>
      <w:r w:rsidRPr="00E84C0C">
        <w:t>(2)</w:t>
      </w:r>
      <w:r>
        <w:tab/>
        <w:t>Despite clause 3, for a period set out in Column 1 of Table 1, 2 or 3, the allocation of operating costs for street lighting on arterial roads, or parts of arterial roads, referred to in clause 3(1</w:t>
      </w:r>
      <w:proofErr w:type="gramStart"/>
      <w:r>
        <w:t>)(</w:t>
      </w:r>
      <w:proofErr w:type="gramEnd"/>
      <w:r>
        <w:t>f) is in accordance with this clause.</w:t>
      </w:r>
    </w:p>
    <w:p w:rsidR="003218FC" w:rsidRDefault="003218FC" w:rsidP="003218FC">
      <w:pPr>
        <w:pStyle w:val="DraftHeading2"/>
        <w:tabs>
          <w:tab w:val="right" w:pos="1247"/>
        </w:tabs>
        <w:ind w:left="1361" w:hanging="1361"/>
      </w:pPr>
      <w:r>
        <w:tab/>
      </w:r>
      <w:r w:rsidRPr="00E84C0C">
        <w:t>(3)</w:t>
      </w:r>
      <w:r>
        <w:tab/>
        <w:t>For street lighting on arterial roads that has been installed—</w:t>
      </w:r>
    </w:p>
    <w:p w:rsidR="003218FC" w:rsidRDefault="003218FC" w:rsidP="003218FC">
      <w:pPr>
        <w:pStyle w:val="DraftHeading3"/>
        <w:tabs>
          <w:tab w:val="right" w:pos="1757"/>
        </w:tabs>
        <w:ind w:left="1871" w:hanging="1871"/>
      </w:pPr>
      <w:r>
        <w:tab/>
      </w:r>
      <w:r w:rsidRPr="00E84C0C">
        <w:t>(a)</w:t>
      </w:r>
      <w:r>
        <w:tab/>
        <w:t>after receiving approval from the Street Lighting Committee, the operating costs for the street lighting for a period set out in Column 1 of Table 1 is to be paid by VicRoads and the relevant municipal council in the proportions set out opposite in Columns 2 and 3 of that Table; and</w:t>
      </w:r>
    </w:p>
    <w:p w:rsidR="003218FC" w:rsidRDefault="003218FC" w:rsidP="003218FC">
      <w:pPr>
        <w:pStyle w:val="DraftHeading3"/>
        <w:tabs>
          <w:tab w:val="right" w:pos="1757"/>
        </w:tabs>
        <w:ind w:left="1871" w:hanging="1871"/>
      </w:pPr>
      <w:r>
        <w:tab/>
      </w:r>
      <w:r w:rsidRPr="00E84C0C">
        <w:t>(b)</w:t>
      </w:r>
      <w:r>
        <w:tab/>
        <w:t>at the initiation of VicRoads but which was not approved by the Street Lighting Committee, the operating costs for the street lighting for a period set out in Column 1 of Table 2 must be paid by VicRoads and the relevant municipal council in the proportions set out opposite in Columns 2 and 3 of that Table; and</w:t>
      </w:r>
    </w:p>
    <w:p w:rsidR="003218FC" w:rsidRDefault="003218FC" w:rsidP="003218FC">
      <w:pPr>
        <w:pStyle w:val="DraftHeading3"/>
        <w:tabs>
          <w:tab w:val="right" w:pos="1757"/>
        </w:tabs>
        <w:ind w:left="1871" w:hanging="1871"/>
      </w:pPr>
      <w:r>
        <w:tab/>
      </w:r>
      <w:r w:rsidRPr="00E84C0C">
        <w:t>(c)</w:t>
      </w:r>
      <w:r>
        <w:tab/>
        <w:t>at the initiation of a municipal council but which was not approved by the Street Lighting Committee, the operating costs for the street lighting for a period set out in Column 1 of Table 3 must be paid by VicRoads and the relevant municipal council in the proportions set out in Columns 2 and 3 of that Table.</w:t>
      </w:r>
    </w:p>
    <w:p w:rsidR="003218FC" w:rsidRDefault="003218FC" w:rsidP="003218FC">
      <w:pPr>
        <w:pStyle w:val="DraftHeading2"/>
        <w:tabs>
          <w:tab w:val="right" w:pos="1247"/>
        </w:tabs>
        <w:ind w:left="1361" w:hanging="1361"/>
      </w:pPr>
      <w:r>
        <w:tab/>
      </w:r>
      <w:r w:rsidRPr="00E84C0C">
        <w:t>(4)</w:t>
      </w:r>
      <w:r>
        <w:tab/>
        <w:t>For the purposes of this clause, in the absence of reliable records as to whether particular street lighting was approved by the Street Lighting Committee—</w:t>
      </w:r>
    </w:p>
    <w:p w:rsidR="003218FC" w:rsidRDefault="003218FC" w:rsidP="003218FC">
      <w:pPr>
        <w:pStyle w:val="DraftHeading3"/>
        <w:tabs>
          <w:tab w:val="right" w:pos="1757"/>
        </w:tabs>
        <w:ind w:left="1871" w:hanging="1871"/>
      </w:pPr>
      <w:r>
        <w:tab/>
      </w:r>
      <w:r w:rsidRPr="00E84C0C">
        <w:t>(a)</w:t>
      </w:r>
      <w:r>
        <w:tab/>
        <w:t>the Street Lighting Committee will be deemed to have approved street lighting if, as at 31 December 2007, the operating costs of the street lighting are in practice being paid by VicRoads and the relevant municipal council in the following proportions—</w:t>
      </w:r>
    </w:p>
    <w:p w:rsidR="003218FC" w:rsidRDefault="003218FC" w:rsidP="003218FC">
      <w:pPr>
        <w:pStyle w:val="DraftHeading4"/>
        <w:tabs>
          <w:tab w:val="right" w:pos="2268"/>
        </w:tabs>
        <w:ind w:left="2381" w:hanging="2381"/>
      </w:pPr>
      <w:r>
        <w:tab/>
      </w:r>
      <w:r w:rsidRPr="00E84C0C">
        <w:t>(</w:t>
      </w:r>
      <w:proofErr w:type="spellStart"/>
      <w:r w:rsidRPr="00E84C0C">
        <w:t>i</w:t>
      </w:r>
      <w:proofErr w:type="spellEnd"/>
      <w:r w:rsidRPr="00E84C0C">
        <w:t>)</w:t>
      </w:r>
      <w:r>
        <w:tab/>
        <w:t>VicRoads, two-thirds; and</w:t>
      </w:r>
    </w:p>
    <w:p w:rsidR="003218FC" w:rsidRDefault="003218FC" w:rsidP="003218FC">
      <w:pPr>
        <w:pStyle w:val="DraftHeading4"/>
        <w:tabs>
          <w:tab w:val="right" w:pos="2268"/>
        </w:tabs>
        <w:ind w:left="2381" w:hanging="2381"/>
      </w:pPr>
      <w:r>
        <w:lastRenderedPageBreak/>
        <w:tab/>
      </w:r>
      <w:r w:rsidRPr="00E84C0C">
        <w:t>(ii)</w:t>
      </w:r>
      <w:r>
        <w:tab/>
      </w:r>
      <w:proofErr w:type="gramStart"/>
      <w:r>
        <w:t>the</w:t>
      </w:r>
      <w:proofErr w:type="gramEnd"/>
      <w:r>
        <w:t xml:space="preserve"> relevant municipal council, one-third;</w:t>
      </w:r>
    </w:p>
    <w:p w:rsidR="003218FC" w:rsidRPr="00253908" w:rsidRDefault="003218FC" w:rsidP="003218FC">
      <w:pPr>
        <w:pStyle w:val="DraftHeading3"/>
        <w:tabs>
          <w:tab w:val="right" w:pos="1757"/>
        </w:tabs>
        <w:ind w:left="1871" w:hanging="1871"/>
      </w:pPr>
      <w:r>
        <w:tab/>
      </w:r>
      <w:r w:rsidRPr="00E84C0C">
        <w:t>(b)</w:t>
      </w:r>
      <w:r>
        <w:tab/>
        <w:t>the Street Lighting Committee will be deemed not to have approved street lighting if, as at 31 December 2007, the operating costs of the street lighting are in practice not being shared between VicRoads and the relevant municipal council.</w:t>
      </w:r>
    </w:p>
    <w:p w:rsidR="003218FC" w:rsidRDefault="003218FC" w:rsidP="003218FC">
      <w:pPr>
        <w:pStyle w:val="DraftHeading2"/>
        <w:tabs>
          <w:tab w:val="right" w:pos="1247"/>
        </w:tabs>
        <w:ind w:left="1361" w:hanging="1361"/>
      </w:pPr>
      <w:r>
        <w:tab/>
      </w:r>
      <w:r w:rsidRPr="00E84C0C">
        <w:t>(5)</w:t>
      </w:r>
      <w:r>
        <w:tab/>
        <w:t xml:space="preserve">This clause and Tables 1, 2 and 3 expire on </w:t>
      </w:r>
      <w:r>
        <w:br/>
        <w:t>1 July 2013.</w:t>
      </w:r>
    </w:p>
    <w:p w:rsidR="003218FC" w:rsidRPr="00A4179F" w:rsidRDefault="003218FC" w:rsidP="003218FC">
      <w:pPr>
        <w:spacing w:before="240"/>
        <w:jc w:val="center"/>
        <w:rPr>
          <w:b/>
          <w:sz w:val="22"/>
          <w:szCs w:val="18"/>
        </w:rPr>
      </w:pPr>
      <w:r w:rsidRPr="00A4179F">
        <w:rPr>
          <w:b/>
          <w:sz w:val="22"/>
          <w:szCs w:val="18"/>
        </w:rPr>
        <w:t>Table 1</w:t>
      </w:r>
    </w:p>
    <w:p w:rsidR="003218FC" w:rsidRPr="00805B18" w:rsidRDefault="003218FC" w:rsidP="003218FC">
      <w:pPr>
        <w:spacing w:after="120"/>
        <w:jc w:val="center"/>
        <w:rPr>
          <w:b/>
          <w:sz w:val="22"/>
          <w:szCs w:val="22"/>
        </w:rPr>
      </w:pPr>
      <w:r w:rsidRPr="00805B18">
        <w:rPr>
          <w:b/>
          <w:sz w:val="22"/>
          <w:szCs w:val="22"/>
        </w:rPr>
        <w:t>Allocation of operating costs for street lighting on arterial roads that was previously approved by the Street Lighting Committee</w:t>
      </w:r>
    </w:p>
    <w:tbl>
      <w:tblPr>
        <w:tblW w:w="6241" w:type="dxa"/>
        <w:tblInd w:w="108" w:type="dxa"/>
        <w:tblLayout w:type="fixed"/>
        <w:tblLook w:val="0000" w:firstRow="0" w:lastRow="0" w:firstColumn="0" w:lastColumn="0" w:noHBand="0" w:noVBand="0"/>
      </w:tblPr>
      <w:tblGrid>
        <w:gridCol w:w="1985"/>
        <w:gridCol w:w="2126"/>
        <w:gridCol w:w="2130"/>
      </w:tblGrid>
      <w:tr w:rsidR="003218FC" w:rsidRPr="00B21003" w:rsidTr="00110E87">
        <w:trPr>
          <w:tblHeader/>
        </w:trPr>
        <w:tc>
          <w:tcPr>
            <w:tcW w:w="1985"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1</w:t>
            </w:r>
          </w:p>
        </w:tc>
        <w:tc>
          <w:tcPr>
            <w:tcW w:w="2126"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2</w:t>
            </w:r>
          </w:p>
        </w:tc>
        <w:tc>
          <w:tcPr>
            <w:tcW w:w="2130"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3</w:t>
            </w:r>
          </w:p>
        </w:tc>
      </w:tr>
      <w:tr w:rsidR="003218FC" w:rsidRPr="009B3ED0" w:rsidTr="00110E87">
        <w:tc>
          <w:tcPr>
            <w:tcW w:w="1985" w:type="dxa"/>
            <w:tcBorders>
              <w:top w:val="single" w:sz="4" w:space="0" w:color="auto"/>
            </w:tcBorders>
            <w:shd w:val="clear" w:color="auto" w:fill="auto"/>
            <w:vAlign w:val="bottom"/>
          </w:tcPr>
          <w:p w:rsidR="003218FC" w:rsidRPr="009B3ED0" w:rsidRDefault="003218FC" w:rsidP="00110E87">
            <w:pPr>
              <w:pStyle w:val="Normal-Schedule"/>
              <w:spacing w:before="60" w:after="60"/>
            </w:pPr>
            <w:r w:rsidRPr="009B3ED0">
              <w:t>Date</w:t>
            </w:r>
          </w:p>
        </w:tc>
        <w:tc>
          <w:tcPr>
            <w:tcW w:w="2126" w:type="dxa"/>
            <w:tcBorders>
              <w:top w:val="single" w:sz="4" w:space="0" w:color="auto"/>
            </w:tcBorders>
            <w:shd w:val="clear" w:color="auto" w:fill="auto"/>
            <w:vAlign w:val="bottom"/>
          </w:tcPr>
          <w:p w:rsidR="003218FC" w:rsidRPr="009B3ED0" w:rsidRDefault="003218FC" w:rsidP="00110E87">
            <w:pPr>
              <w:pStyle w:val="Normal-Schedule"/>
              <w:spacing w:before="60" w:after="60"/>
            </w:pPr>
            <w:r w:rsidRPr="009B3ED0">
              <w:t xml:space="preserve">Proportion of </w:t>
            </w:r>
            <w:r>
              <w:t xml:space="preserve">operating </w:t>
            </w:r>
            <w:r w:rsidRPr="009B3ED0">
              <w:t xml:space="preserve">costs to be paid by </w:t>
            </w:r>
            <w:r>
              <w:t>VicRoads</w:t>
            </w:r>
          </w:p>
        </w:tc>
        <w:tc>
          <w:tcPr>
            <w:tcW w:w="2130" w:type="dxa"/>
            <w:tcBorders>
              <w:top w:val="single" w:sz="4" w:space="0" w:color="auto"/>
            </w:tcBorders>
            <w:shd w:val="clear" w:color="auto" w:fill="auto"/>
            <w:vAlign w:val="bottom"/>
          </w:tcPr>
          <w:p w:rsidR="003218FC" w:rsidRPr="009B3ED0" w:rsidRDefault="003218FC" w:rsidP="00110E87">
            <w:pPr>
              <w:pStyle w:val="Normal-Schedule"/>
              <w:spacing w:before="60" w:after="60"/>
            </w:pPr>
            <w:r w:rsidRPr="009B3ED0">
              <w:t xml:space="preserve">Proportion of </w:t>
            </w:r>
            <w:r>
              <w:t xml:space="preserve">operating </w:t>
            </w:r>
            <w:r w:rsidRPr="009B3ED0">
              <w:t xml:space="preserve">costs to be paid by municipal council </w:t>
            </w:r>
          </w:p>
        </w:tc>
      </w:tr>
      <w:tr w:rsidR="003218FC" w:rsidRPr="009B3ED0" w:rsidTr="00110E87">
        <w:tc>
          <w:tcPr>
            <w:tcW w:w="1985" w:type="dxa"/>
            <w:tcBorders>
              <w:bottom w:val="single" w:sz="4" w:space="0" w:color="auto"/>
            </w:tcBorders>
            <w:shd w:val="clear" w:color="auto" w:fill="auto"/>
            <w:vAlign w:val="bottom"/>
          </w:tcPr>
          <w:p w:rsidR="003218FC" w:rsidRPr="009B3ED0" w:rsidRDefault="003218FC" w:rsidP="00110E87">
            <w:pPr>
              <w:pStyle w:val="Normal-Schedule"/>
              <w:spacing w:before="60" w:after="60"/>
            </w:pPr>
            <w:r>
              <w:t>1 January 2008–</w:t>
            </w:r>
            <w:r>
              <w:br/>
            </w:r>
            <w:r w:rsidRPr="009B3ED0">
              <w:t>30 June 2010</w:t>
            </w:r>
          </w:p>
        </w:tc>
        <w:tc>
          <w:tcPr>
            <w:tcW w:w="2126" w:type="dxa"/>
            <w:tcBorders>
              <w:bottom w:val="single" w:sz="4" w:space="0" w:color="auto"/>
            </w:tcBorders>
            <w:shd w:val="clear" w:color="auto" w:fill="auto"/>
            <w:vAlign w:val="bottom"/>
          </w:tcPr>
          <w:p w:rsidR="003218FC" w:rsidRPr="009B3ED0" w:rsidRDefault="003218FC" w:rsidP="00110E87">
            <w:pPr>
              <w:pStyle w:val="Normal-Schedule"/>
              <w:spacing w:before="60" w:after="60"/>
            </w:pPr>
            <w:r w:rsidRPr="009B3ED0">
              <w:t>2/3</w:t>
            </w:r>
          </w:p>
        </w:tc>
        <w:tc>
          <w:tcPr>
            <w:tcW w:w="2130" w:type="dxa"/>
            <w:tcBorders>
              <w:bottom w:val="single" w:sz="4" w:space="0" w:color="auto"/>
            </w:tcBorders>
            <w:shd w:val="clear" w:color="auto" w:fill="auto"/>
            <w:vAlign w:val="bottom"/>
          </w:tcPr>
          <w:p w:rsidR="003218FC" w:rsidRPr="009B3ED0" w:rsidRDefault="003218FC" w:rsidP="00110E87">
            <w:pPr>
              <w:pStyle w:val="Normal-Schedule"/>
              <w:spacing w:before="60" w:after="60"/>
            </w:pPr>
            <w:r w:rsidRPr="009B3ED0">
              <w:t>1/3</w:t>
            </w:r>
          </w:p>
        </w:tc>
      </w:tr>
    </w:tbl>
    <w:p w:rsidR="003218FC" w:rsidRPr="00A4179F" w:rsidRDefault="003218FC" w:rsidP="003218FC">
      <w:pPr>
        <w:spacing w:before="240"/>
        <w:jc w:val="center"/>
        <w:rPr>
          <w:b/>
          <w:sz w:val="22"/>
          <w:szCs w:val="18"/>
        </w:rPr>
      </w:pPr>
      <w:r w:rsidRPr="00A4179F">
        <w:rPr>
          <w:b/>
          <w:sz w:val="22"/>
          <w:szCs w:val="18"/>
        </w:rPr>
        <w:t>Table 2</w:t>
      </w:r>
    </w:p>
    <w:p w:rsidR="003218FC" w:rsidRPr="00776D5C" w:rsidRDefault="003218FC" w:rsidP="003218FC">
      <w:pPr>
        <w:spacing w:after="120"/>
        <w:jc w:val="center"/>
        <w:rPr>
          <w:b/>
          <w:sz w:val="22"/>
          <w:szCs w:val="22"/>
        </w:rPr>
      </w:pPr>
      <w:r w:rsidRPr="00776D5C">
        <w:rPr>
          <w:b/>
          <w:sz w:val="22"/>
          <w:szCs w:val="22"/>
        </w:rPr>
        <w:t>Allocation of operating costs for street lighting on arterial roads that was not previously approved by the Street Lighting Committee and was initiated by VicRoads</w:t>
      </w:r>
    </w:p>
    <w:tbl>
      <w:tblPr>
        <w:tblW w:w="6241" w:type="dxa"/>
        <w:tblInd w:w="108" w:type="dxa"/>
        <w:tblLayout w:type="fixed"/>
        <w:tblLook w:val="0000" w:firstRow="0" w:lastRow="0" w:firstColumn="0" w:lastColumn="0" w:noHBand="0" w:noVBand="0"/>
      </w:tblPr>
      <w:tblGrid>
        <w:gridCol w:w="1985"/>
        <w:gridCol w:w="2126"/>
        <w:gridCol w:w="2130"/>
      </w:tblGrid>
      <w:tr w:rsidR="003218FC" w:rsidRPr="00B21003" w:rsidTr="00110E87">
        <w:trPr>
          <w:tblHeader/>
        </w:trPr>
        <w:tc>
          <w:tcPr>
            <w:tcW w:w="1985"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1</w:t>
            </w:r>
          </w:p>
        </w:tc>
        <w:tc>
          <w:tcPr>
            <w:tcW w:w="2126"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2</w:t>
            </w:r>
          </w:p>
        </w:tc>
        <w:tc>
          <w:tcPr>
            <w:tcW w:w="2130"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3</w:t>
            </w:r>
          </w:p>
        </w:tc>
      </w:tr>
      <w:tr w:rsidR="003218FC" w:rsidRPr="009B3ED0" w:rsidTr="00110E87">
        <w:tc>
          <w:tcPr>
            <w:tcW w:w="1985"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Date</w:t>
            </w:r>
          </w:p>
        </w:tc>
        <w:tc>
          <w:tcPr>
            <w:tcW w:w="2126"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 xml:space="preserve">Proportion of </w:t>
            </w:r>
            <w:r>
              <w:t xml:space="preserve">operating </w:t>
            </w:r>
            <w:r w:rsidRPr="00D727EB">
              <w:t xml:space="preserve">costs to be paid by </w:t>
            </w:r>
            <w:r>
              <w:t>VicRoads</w:t>
            </w:r>
          </w:p>
        </w:tc>
        <w:tc>
          <w:tcPr>
            <w:tcW w:w="2130"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 xml:space="preserve">Proportion of </w:t>
            </w:r>
            <w:r>
              <w:t xml:space="preserve">operating </w:t>
            </w:r>
            <w:r w:rsidRPr="00D727EB">
              <w:t xml:space="preserve">costs to be paid by municipal council </w:t>
            </w:r>
          </w:p>
        </w:tc>
      </w:tr>
      <w:tr w:rsidR="003218FC" w:rsidRPr="009B3ED0" w:rsidTr="00110E87">
        <w:tc>
          <w:tcPr>
            <w:tcW w:w="1985" w:type="dxa"/>
            <w:tcBorders>
              <w:bottom w:val="single" w:sz="4" w:space="0" w:color="auto"/>
            </w:tcBorders>
            <w:shd w:val="clear" w:color="auto" w:fill="auto"/>
            <w:vAlign w:val="bottom"/>
          </w:tcPr>
          <w:p w:rsidR="003218FC" w:rsidRPr="00D727EB" w:rsidRDefault="003218FC" w:rsidP="00110E87">
            <w:pPr>
              <w:pStyle w:val="Normal-Schedule"/>
              <w:spacing w:before="60" w:after="60"/>
            </w:pPr>
            <w:r>
              <w:t>1 January 2008–30 </w:t>
            </w:r>
            <w:r w:rsidRPr="00D727EB">
              <w:t>June 2010</w:t>
            </w:r>
          </w:p>
        </w:tc>
        <w:tc>
          <w:tcPr>
            <w:tcW w:w="2126" w:type="dxa"/>
            <w:tcBorders>
              <w:bottom w:val="single" w:sz="4" w:space="0" w:color="auto"/>
            </w:tcBorders>
            <w:shd w:val="clear" w:color="auto" w:fill="auto"/>
            <w:vAlign w:val="bottom"/>
          </w:tcPr>
          <w:p w:rsidR="003218FC" w:rsidRPr="00D727EB" w:rsidRDefault="003218FC" w:rsidP="00110E87">
            <w:pPr>
              <w:pStyle w:val="Normal-Schedule"/>
              <w:spacing w:before="60" w:after="60"/>
            </w:pPr>
            <w:r w:rsidRPr="00D727EB">
              <w:t>100%</w:t>
            </w:r>
          </w:p>
        </w:tc>
        <w:tc>
          <w:tcPr>
            <w:tcW w:w="2130" w:type="dxa"/>
            <w:tcBorders>
              <w:bottom w:val="single" w:sz="4" w:space="0" w:color="auto"/>
            </w:tcBorders>
            <w:shd w:val="clear" w:color="auto" w:fill="auto"/>
            <w:vAlign w:val="bottom"/>
          </w:tcPr>
          <w:p w:rsidR="003218FC" w:rsidRPr="00D727EB" w:rsidRDefault="003218FC" w:rsidP="00110E87">
            <w:pPr>
              <w:pStyle w:val="Normal-Schedule"/>
              <w:spacing w:before="60" w:after="60"/>
            </w:pPr>
            <w:r w:rsidRPr="00D727EB">
              <w:t>nil</w:t>
            </w:r>
          </w:p>
        </w:tc>
      </w:tr>
    </w:tbl>
    <w:p w:rsidR="003218FC" w:rsidRPr="00A4179F" w:rsidRDefault="003218FC" w:rsidP="003218FC">
      <w:pPr>
        <w:spacing w:before="240"/>
        <w:jc w:val="center"/>
        <w:rPr>
          <w:b/>
          <w:sz w:val="22"/>
          <w:szCs w:val="18"/>
        </w:rPr>
      </w:pPr>
      <w:r w:rsidRPr="00A4179F">
        <w:rPr>
          <w:b/>
          <w:sz w:val="22"/>
          <w:szCs w:val="18"/>
        </w:rPr>
        <w:t>Table 3</w:t>
      </w:r>
    </w:p>
    <w:p w:rsidR="003218FC" w:rsidRPr="00776D5C" w:rsidRDefault="003218FC" w:rsidP="003218FC">
      <w:pPr>
        <w:spacing w:after="120"/>
        <w:jc w:val="center"/>
        <w:rPr>
          <w:b/>
          <w:sz w:val="22"/>
          <w:szCs w:val="22"/>
        </w:rPr>
      </w:pPr>
      <w:r w:rsidRPr="00776D5C">
        <w:rPr>
          <w:b/>
          <w:sz w:val="22"/>
          <w:szCs w:val="22"/>
        </w:rPr>
        <w:t>Allocation of operating costs for street lighting on arterial roads that was not previously approved by the Street Lighting Committee and was initiated by a municipal council</w:t>
      </w:r>
    </w:p>
    <w:tbl>
      <w:tblPr>
        <w:tblW w:w="6241" w:type="dxa"/>
        <w:tblInd w:w="108" w:type="dxa"/>
        <w:tblLayout w:type="fixed"/>
        <w:tblLook w:val="0000" w:firstRow="0" w:lastRow="0" w:firstColumn="0" w:lastColumn="0" w:noHBand="0" w:noVBand="0"/>
      </w:tblPr>
      <w:tblGrid>
        <w:gridCol w:w="1985"/>
        <w:gridCol w:w="2126"/>
        <w:gridCol w:w="2130"/>
      </w:tblGrid>
      <w:tr w:rsidR="003218FC" w:rsidRPr="00B21003" w:rsidTr="00110E87">
        <w:trPr>
          <w:tblHeader/>
        </w:trPr>
        <w:tc>
          <w:tcPr>
            <w:tcW w:w="1985"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1</w:t>
            </w:r>
          </w:p>
        </w:tc>
        <w:tc>
          <w:tcPr>
            <w:tcW w:w="2126"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2</w:t>
            </w:r>
          </w:p>
        </w:tc>
        <w:tc>
          <w:tcPr>
            <w:tcW w:w="2130"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3</w:t>
            </w:r>
          </w:p>
        </w:tc>
      </w:tr>
      <w:tr w:rsidR="003218FC" w:rsidRPr="00D727EB" w:rsidTr="00110E87">
        <w:tc>
          <w:tcPr>
            <w:tcW w:w="1985"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Date</w:t>
            </w:r>
          </w:p>
        </w:tc>
        <w:tc>
          <w:tcPr>
            <w:tcW w:w="2126"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 xml:space="preserve">Proportion of </w:t>
            </w:r>
            <w:r>
              <w:t xml:space="preserve">operating </w:t>
            </w:r>
            <w:r w:rsidRPr="00D727EB">
              <w:t xml:space="preserve">costs to be paid by </w:t>
            </w:r>
            <w:r>
              <w:t>VicRoads</w:t>
            </w:r>
          </w:p>
        </w:tc>
        <w:tc>
          <w:tcPr>
            <w:tcW w:w="2130"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 xml:space="preserve">Proportion of </w:t>
            </w:r>
            <w:r>
              <w:t xml:space="preserve">operating </w:t>
            </w:r>
            <w:r w:rsidRPr="00D727EB">
              <w:t xml:space="preserve">costs to be paid by municipal council </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January 2008–</w:t>
            </w:r>
            <w:r>
              <w:br/>
            </w:r>
            <w:r w:rsidRPr="00D727EB">
              <w:t>30 June 2008</w:t>
            </w:r>
          </w:p>
        </w:tc>
        <w:tc>
          <w:tcPr>
            <w:tcW w:w="2126" w:type="dxa"/>
            <w:shd w:val="clear" w:color="auto" w:fill="auto"/>
            <w:vAlign w:val="bottom"/>
          </w:tcPr>
          <w:p w:rsidR="003218FC" w:rsidRPr="00D727EB" w:rsidRDefault="003218FC" w:rsidP="00110E87">
            <w:pPr>
              <w:pStyle w:val="Normal-Schedule"/>
              <w:spacing w:before="60" w:after="60"/>
            </w:pPr>
            <w:r w:rsidRPr="00D727EB">
              <w:t>nil</w:t>
            </w:r>
          </w:p>
        </w:tc>
        <w:tc>
          <w:tcPr>
            <w:tcW w:w="2130" w:type="dxa"/>
            <w:shd w:val="clear" w:color="auto" w:fill="auto"/>
            <w:vAlign w:val="bottom"/>
          </w:tcPr>
          <w:p w:rsidR="003218FC" w:rsidRPr="00D727EB" w:rsidRDefault="003218FC" w:rsidP="00110E87">
            <w:pPr>
              <w:pStyle w:val="Normal-Schedule"/>
              <w:spacing w:before="60" w:after="60"/>
            </w:pPr>
            <w:r w:rsidRPr="00D727EB">
              <w:t>100%</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July 2008–</w:t>
            </w:r>
            <w:r>
              <w:br/>
            </w:r>
            <w:r w:rsidRPr="00D727EB">
              <w:t>30 June 2009</w:t>
            </w:r>
          </w:p>
        </w:tc>
        <w:tc>
          <w:tcPr>
            <w:tcW w:w="2126" w:type="dxa"/>
            <w:shd w:val="clear" w:color="auto" w:fill="auto"/>
            <w:vAlign w:val="bottom"/>
          </w:tcPr>
          <w:p w:rsidR="003218FC" w:rsidRPr="00D727EB" w:rsidRDefault="003218FC" w:rsidP="00110E87">
            <w:pPr>
              <w:pStyle w:val="Normal-Schedule"/>
              <w:spacing w:before="60" w:after="60"/>
            </w:pPr>
            <w:r w:rsidRPr="00D727EB">
              <w:t>10%</w:t>
            </w:r>
          </w:p>
        </w:tc>
        <w:tc>
          <w:tcPr>
            <w:tcW w:w="2130" w:type="dxa"/>
            <w:shd w:val="clear" w:color="auto" w:fill="auto"/>
            <w:vAlign w:val="bottom"/>
          </w:tcPr>
          <w:p w:rsidR="003218FC" w:rsidRPr="00D727EB" w:rsidRDefault="003218FC" w:rsidP="00110E87">
            <w:pPr>
              <w:pStyle w:val="Normal-Schedule"/>
              <w:spacing w:before="60" w:after="60"/>
            </w:pPr>
            <w:r w:rsidRPr="00D727EB">
              <w:t>90%</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July 2009–</w:t>
            </w:r>
            <w:r>
              <w:br/>
            </w:r>
            <w:r w:rsidRPr="00D727EB">
              <w:t>30 June 2010</w:t>
            </w:r>
          </w:p>
        </w:tc>
        <w:tc>
          <w:tcPr>
            <w:tcW w:w="2126" w:type="dxa"/>
            <w:shd w:val="clear" w:color="auto" w:fill="auto"/>
            <w:vAlign w:val="bottom"/>
          </w:tcPr>
          <w:p w:rsidR="003218FC" w:rsidRPr="00D727EB" w:rsidRDefault="003218FC" w:rsidP="00110E87">
            <w:pPr>
              <w:pStyle w:val="Normal-Schedule"/>
              <w:spacing w:before="60" w:after="60"/>
            </w:pPr>
            <w:r w:rsidRPr="00D727EB">
              <w:t>20%</w:t>
            </w:r>
          </w:p>
        </w:tc>
        <w:tc>
          <w:tcPr>
            <w:tcW w:w="2130" w:type="dxa"/>
            <w:shd w:val="clear" w:color="auto" w:fill="auto"/>
            <w:vAlign w:val="bottom"/>
          </w:tcPr>
          <w:p w:rsidR="003218FC" w:rsidRPr="00D727EB" w:rsidRDefault="003218FC" w:rsidP="00110E87">
            <w:pPr>
              <w:pStyle w:val="Normal-Schedule"/>
              <w:spacing w:before="60" w:after="60"/>
            </w:pPr>
            <w:r w:rsidRPr="00D727EB">
              <w:t>80%</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July 2010–</w:t>
            </w:r>
            <w:r>
              <w:br/>
            </w:r>
            <w:r w:rsidRPr="00D727EB">
              <w:t>30 June 2011</w:t>
            </w:r>
          </w:p>
        </w:tc>
        <w:tc>
          <w:tcPr>
            <w:tcW w:w="2126" w:type="dxa"/>
            <w:shd w:val="clear" w:color="auto" w:fill="auto"/>
            <w:vAlign w:val="bottom"/>
          </w:tcPr>
          <w:p w:rsidR="003218FC" w:rsidRPr="00D727EB" w:rsidRDefault="003218FC" w:rsidP="00110E87">
            <w:pPr>
              <w:pStyle w:val="Normal-Schedule"/>
              <w:spacing w:before="60" w:after="60"/>
            </w:pPr>
            <w:r w:rsidRPr="00D727EB">
              <w:t>30%</w:t>
            </w:r>
          </w:p>
        </w:tc>
        <w:tc>
          <w:tcPr>
            <w:tcW w:w="2130" w:type="dxa"/>
            <w:shd w:val="clear" w:color="auto" w:fill="auto"/>
            <w:vAlign w:val="bottom"/>
          </w:tcPr>
          <w:p w:rsidR="003218FC" w:rsidRPr="00D727EB" w:rsidRDefault="003218FC" w:rsidP="00110E87">
            <w:pPr>
              <w:pStyle w:val="Normal-Schedule"/>
              <w:spacing w:before="60" w:after="60"/>
            </w:pPr>
            <w:r w:rsidRPr="00D727EB">
              <w:t>70%</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July 2011–</w:t>
            </w:r>
            <w:r>
              <w:br/>
            </w:r>
            <w:r w:rsidRPr="00D727EB">
              <w:t xml:space="preserve">30 June 2012 </w:t>
            </w:r>
          </w:p>
        </w:tc>
        <w:tc>
          <w:tcPr>
            <w:tcW w:w="2126" w:type="dxa"/>
            <w:shd w:val="clear" w:color="auto" w:fill="auto"/>
            <w:vAlign w:val="bottom"/>
          </w:tcPr>
          <w:p w:rsidR="003218FC" w:rsidRPr="00D727EB" w:rsidRDefault="003218FC" w:rsidP="00110E87">
            <w:pPr>
              <w:pStyle w:val="Normal-Schedule"/>
              <w:spacing w:before="60" w:after="60"/>
            </w:pPr>
            <w:r w:rsidRPr="00D727EB">
              <w:t>40%</w:t>
            </w:r>
          </w:p>
        </w:tc>
        <w:tc>
          <w:tcPr>
            <w:tcW w:w="2130" w:type="dxa"/>
            <w:shd w:val="clear" w:color="auto" w:fill="auto"/>
            <w:vAlign w:val="bottom"/>
          </w:tcPr>
          <w:p w:rsidR="003218FC" w:rsidRPr="00D727EB" w:rsidRDefault="003218FC" w:rsidP="00110E87">
            <w:pPr>
              <w:pStyle w:val="Normal-Schedule"/>
              <w:spacing w:before="60" w:after="60"/>
            </w:pPr>
            <w:r w:rsidRPr="00D727EB">
              <w:t>60%</w:t>
            </w:r>
          </w:p>
        </w:tc>
      </w:tr>
      <w:tr w:rsidR="003218FC" w:rsidRPr="00D727EB" w:rsidTr="00110E87">
        <w:tc>
          <w:tcPr>
            <w:tcW w:w="1985" w:type="dxa"/>
            <w:tcBorders>
              <w:bottom w:val="single" w:sz="4" w:space="0" w:color="auto"/>
            </w:tcBorders>
            <w:shd w:val="clear" w:color="auto" w:fill="auto"/>
            <w:vAlign w:val="bottom"/>
          </w:tcPr>
          <w:p w:rsidR="003218FC" w:rsidRPr="00D727EB" w:rsidRDefault="003218FC" w:rsidP="00110E87">
            <w:pPr>
              <w:pStyle w:val="Normal-Schedule"/>
              <w:spacing w:before="60" w:after="60"/>
            </w:pPr>
            <w:r>
              <w:t>1 July 2012–</w:t>
            </w:r>
            <w:r>
              <w:br/>
            </w:r>
            <w:r w:rsidRPr="00D727EB">
              <w:t>30 June 2013</w:t>
            </w:r>
          </w:p>
        </w:tc>
        <w:tc>
          <w:tcPr>
            <w:tcW w:w="2126" w:type="dxa"/>
            <w:tcBorders>
              <w:bottom w:val="single" w:sz="4" w:space="0" w:color="auto"/>
            </w:tcBorders>
            <w:shd w:val="clear" w:color="auto" w:fill="auto"/>
            <w:vAlign w:val="bottom"/>
          </w:tcPr>
          <w:p w:rsidR="003218FC" w:rsidRPr="00D727EB" w:rsidRDefault="003218FC" w:rsidP="00110E87">
            <w:pPr>
              <w:pStyle w:val="Normal-Schedule"/>
              <w:spacing w:before="60" w:after="60"/>
            </w:pPr>
            <w:r w:rsidRPr="00D727EB">
              <w:t>50%</w:t>
            </w:r>
          </w:p>
        </w:tc>
        <w:tc>
          <w:tcPr>
            <w:tcW w:w="2130" w:type="dxa"/>
            <w:tcBorders>
              <w:bottom w:val="single" w:sz="4" w:space="0" w:color="auto"/>
            </w:tcBorders>
            <w:shd w:val="clear" w:color="auto" w:fill="auto"/>
            <w:vAlign w:val="bottom"/>
          </w:tcPr>
          <w:p w:rsidR="003218FC" w:rsidRPr="00D727EB" w:rsidRDefault="003218FC" w:rsidP="00110E87">
            <w:pPr>
              <w:pStyle w:val="Normal-Schedule"/>
              <w:spacing w:before="60" w:after="60"/>
            </w:pPr>
            <w:r w:rsidRPr="00D727EB">
              <w:t>5</w:t>
            </w:r>
            <w:r>
              <w:t>0</w:t>
            </w:r>
            <w:r w:rsidRPr="00D727EB">
              <w:t>%</w:t>
            </w:r>
          </w:p>
        </w:tc>
      </w:tr>
    </w:tbl>
    <w:p w:rsidR="003218FC" w:rsidRPr="00253908" w:rsidRDefault="003218FC" w:rsidP="003218FC">
      <w:pPr>
        <w:pStyle w:val="AmndSectionNote"/>
        <w:tabs>
          <w:tab w:val="right" w:pos="1814"/>
        </w:tabs>
        <w:rPr>
          <w:b/>
          <w:bCs/>
        </w:rPr>
      </w:pPr>
      <w:r w:rsidRPr="00253908">
        <w:rPr>
          <w:b/>
          <w:bCs/>
        </w:rPr>
        <w:lastRenderedPageBreak/>
        <w:t>Note</w:t>
      </w:r>
    </w:p>
    <w:p w:rsidR="003218FC" w:rsidRPr="00B02917" w:rsidRDefault="003218FC" w:rsidP="003218FC">
      <w:pPr>
        <w:pStyle w:val="AmndSectionNote"/>
        <w:tabs>
          <w:tab w:val="right" w:pos="1814"/>
        </w:tabs>
      </w:pPr>
      <w:r>
        <w:t>After the last date set out in Column 1 of Tables 1, 2 and 3, the allocation of operating costs for street lighting on arterial roads will be in accordance with clause 3.</w:t>
      </w:r>
      <w:r w:rsidRPr="003218FC">
        <w:rPr>
          <w:sz w:val="24"/>
          <w:szCs w:val="24"/>
          <w:lang w:eastAsia="en-AU"/>
        </w:rPr>
        <w:t>"</w:t>
      </w:r>
    </w:p>
    <w:p w:rsidR="003218FC" w:rsidRDefault="003218FC" w:rsidP="00C55F77">
      <w:pPr>
        <w:rPr>
          <w:sz w:val="24"/>
        </w:rPr>
      </w:pPr>
    </w:p>
    <w:p w:rsidR="00E90EA7" w:rsidRDefault="00E90EA7" w:rsidP="00E90EA7">
      <w:pPr>
        <w:rPr>
          <w:sz w:val="24"/>
        </w:rPr>
      </w:pPr>
      <w:proofErr w:type="gramStart"/>
      <w:r>
        <w:rPr>
          <w:sz w:val="24"/>
        </w:rPr>
        <w:t>substitute</w:t>
      </w:r>
      <w:proofErr w:type="gramEnd"/>
      <w:r>
        <w:rPr>
          <w:sz w:val="24"/>
        </w:rPr>
        <w:t>:</w:t>
      </w:r>
    </w:p>
    <w:p w:rsidR="00E90EA7" w:rsidRDefault="00E90EA7" w:rsidP="00E90EA7">
      <w:pPr>
        <w:rPr>
          <w:sz w:val="24"/>
        </w:rPr>
      </w:pPr>
    </w:p>
    <w:p w:rsidR="00E90EA7" w:rsidRDefault="00E90EA7" w:rsidP="00E90EA7">
      <w:pPr>
        <w:pStyle w:val="SideNote"/>
        <w:framePr w:wrap="around"/>
      </w:pPr>
      <w:r>
        <w:t>Sch. </w:t>
      </w:r>
      <w:proofErr w:type="spellStart"/>
      <w:r>
        <w:t>7A</w:t>
      </w:r>
      <w:proofErr w:type="spellEnd"/>
      <w:r>
        <w:t xml:space="preserve"> cl. 4 expired by force of No. 12/2004 Sch. </w:t>
      </w:r>
      <w:proofErr w:type="spellStart"/>
      <w:r>
        <w:t>7A</w:t>
      </w:r>
      <w:proofErr w:type="spellEnd"/>
      <w:r>
        <w:t xml:space="preserve"> cl. 4(5).</w:t>
      </w:r>
      <w:proofErr w:type="gramStart"/>
      <w:r w:rsidRPr="00582F2F">
        <w:rPr>
          <w:b w:val="0"/>
        </w:rPr>
        <w:t>".</w:t>
      </w:r>
      <w:proofErr w:type="gramEnd"/>
    </w:p>
    <w:p w:rsidR="00E90EA7" w:rsidRDefault="00E90EA7" w:rsidP="00E90EA7">
      <w:pPr>
        <w:pStyle w:val="Stars"/>
      </w:pPr>
      <w:r>
        <w:t>"</w:t>
      </w:r>
      <w:r>
        <w:tab/>
        <w:t>*</w:t>
      </w:r>
      <w:r>
        <w:tab/>
        <w:t>*</w:t>
      </w:r>
      <w:r>
        <w:tab/>
        <w:t>*</w:t>
      </w:r>
      <w:r>
        <w:tab/>
        <w:t>*</w:t>
      </w:r>
      <w:r>
        <w:tab/>
        <w:t>*</w:t>
      </w:r>
    </w:p>
    <w:p w:rsidR="00B66087" w:rsidRDefault="00B66087" w:rsidP="00E90EA7"/>
    <w:sectPr w:rsidR="00B66087" w:rsidSect="008529A9">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Revision" w:val="ffffffffffffffffff"/>
    <w:docVar w:name="acttitle" w:val="ggg"/>
    <w:docVar w:name="INTitle" w:val="ssssssssssss"/>
    <w:docVar w:name="vDocumentType" w:val=".ACTINFONOTICE"/>
  </w:docVars>
  <w:rsids>
    <w:rsidRoot w:val="00235BE4"/>
    <w:rsid w:val="00073B6D"/>
    <w:rsid w:val="000E7DCF"/>
    <w:rsid w:val="00135209"/>
    <w:rsid w:val="00157509"/>
    <w:rsid w:val="00235BE4"/>
    <w:rsid w:val="003218FC"/>
    <w:rsid w:val="003D02F3"/>
    <w:rsid w:val="003D0546"/>
    <w:rsid w:val="004D2306"/>
    <w:rsid w:val="004F176F"/>
    <w:rsid w:val="005746F7"/>
    <w:rsid w:val="005C3649"/>
    <w:rsid w:val="00734BD3"/>
    <w:rsid w:val="007E60F0"/>
    <w:rsid w:val="007F65BB"/>
    <w:rsid w:val="008529A9"/>
    <w:rsid w:val="0086451E"/>
    <w:rsid w:val="00983ADF"/>
    <w:rsid w:val="009C57DA"/>
    <w:rsid w:val="009C76AB"/>
    <w:rsid w:val="00A35FE8"/>
    <w:rsid w:val="00A52814"/>
    <w:rsid w:val="00B66087"/>
    <w:rsid w:val="00C03C05"/>
    <w:rsid w:val="00C42424"/>
    <w:rsid w:val="00C55F77"/>
    <w:rsid w:val="00C925E2"/>
    <w:rsid w:val="00CD1CFB"/>
    <w:rsid w:val="00D070DD"/>
    <w:rsid w:val="00D702DC"/>
    <w:rsid w:val="00DF3736"/>
    <w:rsid w:val="00E16A2E"/>
    <w:rsid w:val="00E32C21"/>
    <w:rsid w:val="00E90EA7"/>
    <w:rsid w:val="00EC77CC"/>
    <w:rsid w:val="00ED205D"/>
    <w:rsid w:val="00F473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9A9"/>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Heading2">
    <w:name w:val="Amend. Heading 2"/>
    <w:basedOn w:val="Normal"/>
    <w:next w:val="Normal"/>
    <w:rsid w:val="00235BE4"/>
    <w:pPr>
      <w:spacing w:before="120"/>
    </w:pPr>
    <w:rPr>
      <w:sz w:val="24"/>
    </w:rPr>
  </w:style>
  <w:style w:type="paragraph" w:customStyle="1" w:styleId="AmendHeading3">
    <w:name w:val="Amend. Heading 3"/>
    <w:basedOn w:val="Normal"/>
    <w:next w:val="Normal"/>
    <w:rsid w:val="00235BE4"/>
    <w:pPr>
      <w:spacing w:before="120"/>
    </w:pPr>
    <w:rPr>
      <w:sz w:val="24"/>
    </w:rPr>
  </w:style>
  <w:style w:type="paragraph" w:customStyle="1" w:styleId="DraftHeading3">
    <w:name w:val="Draft Heading 3"/>
    <w:basedOn w:val="Normal"/>
    <w:next w:val="Normal"/>
    <w:rsid w:val="00235BE4"/>
    <w:pPr>
      <w:spacing w:before="120"/>
    </w:pPr>
    <w:rPr>
      <w:sz w:val="24"/>
    </w:rPr>
  </w:style>
  <w:style w:type="paragraph" w:customStyle="1" w:styleId="DraftHeading4">
    <w:name w:val="Draft Heading 4"/>
    <w:basedOn w:val="Normal"/>
    <w:next w:val="Normal"/>
    <w:rsid w:val="00C55F77"/>
    <w:pPr>
      <w:spacing w:before="120"/>
    </w:pPr>
    <w:rPr>
      <w:sz w:val="24"/>
    </w:rPr>
  </w:style>
  <w:style w:type="paragraph" w:customStyle="1" w:styleId="DraftHeading5">
    <w:name w:val="Draft Heading 5"/>
    <w:basedOn w:val="Normal"/>
    <w:next w:val="Normal"/>
    <w:rsid w:val="00C55F77"/>
    <w:pPr>
      <w:spacing w:before="120"/>
    </w:pPr>
    <w:rPr>
      <w:sz w:val="24"/>
    </w:rPr>
  </w:style>
  <w:style w:type="paragraph" w:customStyle="1" w:styleId="Stars">
    <w:name w:val="Stars"/>
    <w:basedOn w:val="Normal"/>
    <w:next w:val="Normal"/>
    <w:rsid w:val="00B66087"/>
    <w:pPr>
      <w:tabs>
        <w:tab w:val="right" w:pos="1418"/>
        <w:tab w:val="right" w:pos="2552"/>
        <w:tab w:val="right" w:pos="3686"/>
        <w:tab w:val="right" w:pos="4820"/>
        <w:tab w:val="right" w:pos="5954"/>
      </w:tabs>
      <w:spacing w:before="120"/>
      <w:ind w:left="851"/>
    </w:pPr>
    <w:rPr>
      <w:sz w:val="24"/>
    </w:rPr>
  </w:style>
  <w:style w:type="paragraph" w:customStyle="1" w:styleId="DraftHeading1">
    <w:name w:val="Draft Heading 1"/>
    <w:basedOn w:val="Normal"/>
    <w:next w:val="Normal"/>
    <w:link w:val="DraftHeading1Char"/>
    <w:rsid w:val="003218FC"/>
    <w:pPr>
      <w:spacing w:before="120"/>
      <w:outlineLvl w:val="2"/>
    </w:pPr>
    <w:rPr>
      <w:b/>
      <w:sz w:val="24"/>
    </w:rPr>
  </w:style>
  <w:style w:type="paragraph" w:customStyle="1" w:styleId="DraftHeading2">
    <w:name w:val="Draft Heading 2"/>
    <w:basedOn w:val="Normal"/>
    <w:next w:val="Normal"/>
    <w:link w:val="DraftHeading2Char"/>
    <w:rsid w:val="003218FC"/>
    <w:pPr>
      <w:spacing w:before="120"/>
    </w:pPr>
    <w:rPr>
      <w:sz w:val="24"/>
    </w:rPr>
  </w:style>
  <w:style w:type="paragraph" w:customStyle="1" w:styleId="Normal-Schedule">
    <w:name w:val="Normal - Schedule"/>
    <w:link w:val="Normal-ScheduleChar"/>
    <w:rsid w:val="003218FC"/>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AmndSectionNote">
    <w:name w:val="Amnd Section Note"/>
    <w:next w:val="Normal"/>
    <w:rsid w:val="003218FC"/>
    <w:pPr>
      <w:spacing w:before="120"/>
    </w:pPr>
    <w:rPr>
      <w:lang w:eastAsia="en-US"/>
    </w:rPr>
  </w:style>
  <w:style w:type="character" w:customStyle="1" w:styleId="DraftHeading1Char">
    <w:name w:val="Draft Heading 1 Char"/>
    <w:basedOn w:val="DefaultParagraphFont"/>
    <w:link w:val="DraftHeading1"/>
    <w:locked/>
    <w:rsid w:val="003218FC"/>
    <w:rPr>
      <w:b/>
      <w:sz w:val="24"/>
      <w:lang w:eastAsia="en-US"/>
    </w:rPr>
  </w:style>
  <w:style w:type="character" w:customStyle="1" w:styleId="Normal-ScheduleChar">
    <w:name w:val="Normal - Schedule Char"/>
    <w:basedOn w:val="DefaultParagraphFont"/>
    <w:link w:val="Normal-Schedule"/>
    <w:rsid w:val="003218FC"/>
    <w:rPr>
      <w:lang w:eastAsia="en-US"/>
    </w:rPr>
  </w:style>
  <w:style w:type="character" w:customStyle="1" w:styleId="DraftHeading2Char">
    <w:name w:val="Draft Heading 2 Char"/>
    <w:basedOn w:val="DefaultParagraphFont"/>
    <w:link w:val="DraftHeading2"/>
    <w:rsid w:val="003218FC"/>
    <w:rPr>
      <w:sz w:val="24"/>
      <w:lang w:eastAsia="en-US"/>
    </w:rPr>
  </w:style>
  <w:style w:type="paragraph" w:customStyle="1" w:styleId="SideNote">
    <w:name w:val="Side Note"/>
    <w:basedOn w:val="Normal"/>
    <w:rsid w:val="003218FC"/>
    <w:pPr>
      <w:framePr w:w="964" w:h="340" w:hSpace="180" w:vSpace="180" w:wrap="around" w:vAnchor="text" w:hAnchor="page" w:xAlign="outside" w:y="1"/>
      <w:suppressLineNumbers/>
      <w:spacing w:before="120"/>
    </w:pPr>
    <w:rPr>
      <w:rFonts w:ascii="Arial" w:hAnsi="Arial"/>
      <w:b/>
      <w:spacing w:val="-1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9A9"/>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Heading2">
    <w:name w:val="Amend. Heading 2"/>
    <w:basedOn w:val="Normal"/>
    <w:next w:val="Normal"/>
    <w:rsid w:val="00235BE4"/>
    <w:pPr>
      <w:spacing w:before="120"/>
    </w:pPr>
    <w:rPr>
      <w:sz w:val="24"/>
    </w:rPr>
  </w:style>
  <w:style w:type="paragraph" w:customStyle="1" w:styleId="AmendHeading3">
    <w:name w:val="Amend. Heading 3"/>
    <w:basedOn w:val="Normal"/>
    <w:next w:val="Normal"/>
    <w:rsid w:val="00235BE4"/>
    <w:pPr>
      <w:spacing w:before="120"/>
    </w:pPr>
    <w:rPr>
      <w:sz w:val="24"/>
    </w:rPr>
  </w:style>
  <w:style w:type="paragraph" w:customStyle="1" w:styleId="DraftHeading3">
    <w:name w:val="Draft Heading 3"/>
    <w:basedOn w:val="Normal"/>
    <w:next w:val="Normal"/>
    <w:rsid w:val="00235BE4"/>
    <w:pPr>
      <w:spacing w:before="120"/>
    </w:pPr>
    <w:rPr>
      <w:sz w:val="24"/>
    </w:rPr>
  </w:style>
  <w:style w:type="paragraph" w:customStyle="1" w:styleId="DraftHeading4">
    <w:name w:val="Draft Heading 4"/>
    <w:basedOn w:val="Normal"/>
    <w:next w:val="Normal"/>
    <w:rsid w:val="00C55F77"/>
    <w:pPr>
      <w:spacing w:before="120"/>
    </w:pPr>
    <w:rPr>
      <w:sz w:val="24"/>
    </w:rPr>
  </w:style>
  <w:style w:type="paragraph" w:customStyle="1" w:styleId="DraftHeading5">
    <w:name w:val="Draft Heading 5"/>
    <w:basedOn w:val="Normal"/>
    <w:next w:val="Normal"/>
    <w:rsid w:val="00C55F77"/>
    <w:pPr>
      <w:spacing w:before="120"/>
    </w:pPr>
    <w:rPr>
      <w:sz w:val="24"/>
    </w:rPr>
  </w:style>
  <w:style w:type="paragraph" w:customStyle="1" w:styleId="Stars">
    <w:name w:val="Stars"/>
    <w:basedOn w:val="Normal"/>
    <w:next w:val="Normal"/>
    <w:rsid w:val="00B66087"/>
    <w:pPr>
      <w:tabs>
        <w:tab w:val="right" w:pos="1418"/>
        <w:tab w:val="right" w:pos="2552"/>
        <w:tab w:val="right" w:pos="3686"/>
        <w:tab w:val="right" w:pos="4820"/>
        <w:tab w:val="right" w:pos="5954"/>
      </w:tabs>
      <w:spacing w:before="120"/>
      <w:ind w:left="851"/>
    </w:pPr>
    <w:rPr>
      <w:sz w:val="24"/>
    </w:rPr>
  </w:style>
  <w:style w:type="paragraph" w:customStyle="1" w:styleId="DraftHeading1">
    <w:name w:val="Draft Heading 1"/>
    <w:basedOn w:val="Normal"/>
    <w:next w:val="Normal"/>
    <w:link w:val="DraftHeading1Char"/>
    <w:rsid w:val="003218FC"/>
    <w:pPr>
      <w:spacing w:before="120"/>
      <w:outlineLvl w:val="2"/>
    </w:pPr>
    <w:rPr>
      <w:b/>
      <w:sz w:val="24"/>
    </w:rPr>
  </w:style>
  <w:style w:type="paragraph" w:customStyle="1" w:styleId="DraftHeading2">
    <w:name w:val="Draft Heading 2"/>
    <w:basedOn w:val="Normal"/>
    <w:next w:val="Normal"/>
    <w:link w:val="DraftHeading2Char"/>
    <w:rsid w:val="003218FC"/>
    <w:pPr>
      <w:spacing w:before="120"/>
    </w:pPr>
    <w:rPr>
      <w:sz w:val="24"/>
    </w:rPr>
  </w:style>
  <w:style w:type="paragraph" w:customStyle="1" w:styleId="Normal-Schedule">
    <w:name w:val="Normal - Schedule"/>
    <w:link w:val="Normal-ScheduleChar"/>
    <w:rsid w:val="003218FC"/>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AmndSectionNote">
    <w:name w:val="Amnd Section Note"/>
    <w:next w:val="Normal"/>
    <w:rsid w:val="003218FC"/>
    <w:pPr>
      <w:spacing w:before="120"/>
    </w:pPr>
    <w:rPr>
      <w:lang w:eastAsia="en-US"/>
    </w:rPr>
  </w:style>
  <w:style w:type="character" w:customStyle="1" w:styleId="DraftHeading1Char">
    <w:name w:val="Draft Heading 1 Char"/>
    <w:basedOn w:val="DefaultParagraphFont"/>
    <w:link w:val="DraftHeading1"/>
    <w:locked/>
    <w:rsid w:val="003218FC"/>
    <w:rPr>
      <w:b/>
      <w:sz w:val="24"/>
      <w:lang w:eastAsia="en-US"/>
    </w:rPr>
  </w:style>
  <w:style w:type="character" w:customStyle="1" w:styleId="Normal-ScheduleChar">
    <w:name w:val="Normal - Schedule Char"/>
    <w:basedOn w:val="DefaultParagraphFont"/>
    <w:link w:val="Normal-Schedule"/>
    <w:rsid w:val="003218FC"/>
    <w:rPr>
      <w:lang w:eastAsia="en-US"/>
    </w:rPr>
  </w:style>
  <w:style w:type="character" w:customStyle="1" w:styleId="DraftHeading2Char">
    <w:name w:val="Draft Heading 2 Char"/>
    <w:basedOn w:val="DefaultParagraphFont"/>
    <w:link w:val="DraftHeading2"/>
    <w:rsid w:val="003218FC"/>
    <w:rPr>
      <w:sz w:val="24"/>
      <w:lang w:eastAsia="en-US"/>
    </w:rPr>
  </w:style>
  <w:style w:type="paragraph" w:customStyle="1" w:styleId="SideNote">
    <w:name w:val="Side Note"/>
    <w:basedOn w:val="Normal"/>
    <w:rsid w:val="003218FC"/>
    <w:pPr>
      <w:framePr w:w="964" w:h="340" w:hSpace="180" w:vSpace="180" w:wrap="around" w:vAnchor="text" w:hAnchor="page" w:xAlign="outside" w:y="1"/>
      <w:suppressLineNumbers/>
      <w:spacing w:before="120"/>
    </w:pPr>
    <w:rPr>
      <w:rFonts w:ascii="Arial" w:hAnsi="Arial"/>
      <w:b/>
      <w:spacing w:val="-1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3263</Characters>
  <Application>Microsoft Office Word</Application>
  <DocSecurity>0</DocSecurity>
  <Lines>130</Lines>
  <Paragraphs>47</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7</cp:revision>
  <cp:lastPrinted>2020-01-06T01:37:00Z</cp:lastPrinted>
  <dcterms:created xsi:type="dcterms:W3CDTF">2020-01-14T01:07:00Z</dcterms:created>
  <dcterms:modified xsi:type="dcterms:W3CDTF">2020-01-16T00:39:00Z</dcterms:modified>
</cp:coreProperties>
</file>