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3D82F" w14:textId="77777777" w:rsidR="009F1664" w:rsidRPr="009F1664" w:rsidRDefault="009F1664" w:rsidP="009F1664">
      <w:pPr>
        <w:jc w:val="center"/>
        <w:rPr>
          <w:rFonts w:ascii="Arial" w:hAnsi="Arial" w:cs="Arial"/>
          <w:b/>
          <w:sz w:val="24"/>
          <w:szCs w:val="24"/>
        </w:rPr>
      </w:pPr>
      <w:bookmarkStart w:id="0" w:name="_GoBack"/>
      <w:bookmarkEnd w:id="0"/>
      <w:r w:rsidRPr="009F1664">
        <w:rPr>
          <w:rFonts w:ascii="Arial" w:hAnsi="Arial" w:cs="Arial"/>
          <w:b/>
          <w:sz w:val="24"/>
          <w:szCs w:val="24"/>
        </w:rPr>
        <w:t>LEGISLATIVE COUNCIL</w:t>
      </w:r>
    </w:p>
    <w:p w14:paraId="4C095E09" w14:textId="77777777" w:rsidR="009F1664" w:rsidRPr="009F1664" w:rsidRDefault="00747621" w:rsidP="009F1664">
      <w:pPr>
        <w:jc w:val="center"/>
        <w:rPr>
          <w:rFonts w:ascii="Arial" w:hAnsi="Arial" w:cs="Arial"/>
          <w:b/>
          <w:sz w:val="24"/>
          <w:szCs w:val="24"/>
        </w:rPr>
      </w:pPr>
      <w:r w:rsidRPr="00747621">
        <w:rPr>
          <w:rFonts w:ascii="Arial" w:hAnsi="Arial" w:cs="Arial"/>
          <w:b/>
          <w:sz w:val="24"/>
          <w:szCs w:val="24"/>
        </w:rPr>
        <w:t>CONSTITUTION AMENDMENT (FRACKING BAN)</w:t>
      </w:r>
      <w:r>
        <w:rPr>
          <w:rFonts w:ascii="Arial" w:hAnsi="Arial" w:cs="Arial"/>
          <w:b/>
          <w:sz w:val="24"/>
          <w:szCs w:val="24"/>
        </w:rPr>
        <w:t xml:space="preserve"> </w:t>
      </w:r>
      <w:r w:rsidR="000F758B">
        <w:rPr>
          <w:rFonts w:ascii="Arial" w:hAnsi="Arial" w:cs="Arial"/>
          <w:b/>
          <w:sz w:val="24"/>
          <w:szCs w:val="24"/>
        </w:rPr>
        <w:t>BILL 2020</w:t>
      </w:r>
    </w:p>
    <w:p w14:paraId="1E696CBE" w14:textId="77777777" w:rsidR="009F1664" w:rsidRDefault="009F1664" w:rsidP="009F1664">
      <w:pPr>
        <w:jc w:val="center"/>
        <w:rPr>
          <w:rFonts w:ascii="Arial" w:hAnsi="Arial" w:cs="Arial"/>
          <w:i/>
          <w:sz w:val="24"/>
          <w:szCs w:val="24"/>
        </w:rPr>
      </w:pPr>
      <w:r w:rsidRPr="009F1664">
        <w:rPr>
          <w:rFonts w:ascii="Arial" w:hAnsi="Arial" w:cs="Arial"/>
          <w:i/>
          <w:sz w:val="24"/>
          <w:szCs w:val="24"/>
        </w:rPr>
        <w:t xml:space="preserve">(Reasoned amendment to be moved by </w:t>
      </w:r>
      <w:r w:rsidR="000F758B">
        <w:rPr>
          <w:rFonts w:ascii="Arial" w:hAnsi="Arial" w:cs="Arial"/>
          <w:i/>
          <w:sz w:val="24"/>
          <w:szCs w:val="24"/>
        </w:rPr>
        <w:t xml:space="preserve">Mr </w:t>
      </w:r>
      <w:r w:rsidR="00910FDF">
        <w:rPr>
          <w:rFonts w:ascii="Arial" w:hAnsi="Arial" w:cs="Arial"/>
          <w:i/>
          <w:sz w:val="24"/>
          <w:szCs w:val="24"/>
        </w:rPr>
        <w:t xml:space="preserve">Limbrick </w:t>
      </w:r>
      <w:r>
        <w:rPr>
          <w:rFonts w:ascii="Arial" w:hAnsi="Arial" w:cs="Arial"/>
          <w:i/>
          <w:sz w:val="24"/>
          <w:szCs w:val="24"/>
        </w:rPr>
        <w:t>to motion for Second </w:t>
      </w:r>
      <w:r w:rsidRPr="009F1664">
        <w:rPr>
          <w:rFonts w:ascii="Arial" w:hAnsi="Arial" w:cs="Arial"/>
          <w:i/>
          <w:sz w:val="24"/>
          <w:szCs w:val="24"/>
        </w:rPr>
        <w:t>Reading)</w:t>
      </w:r>
    </w:p>
    <w:p w14:paraId="4D7D76F6" w14:textId="77777777" w:rsidR="00C85EFE" w:rsidRDefault="009F1664" w:rsidP="00C85EFE">
      <w:pPr>
        <w:spacing w:after="0"/>
        <w:jc w:val="both"/>
        <w:rPr>
          <w:rFonts w:ascii="Arial" w:hAnsi="Arial" w:cs="Arial"/>
        </w:rPr>
      </w:pPr>
      <w:r w:rsidRPr="00C85EFE">
        <w:rPr>
          <w:rFonts w:ascii="Arial" w:hAnsi="Arial" w:cs="Arial"/>
        </w:rPr>
        <w:t xml:space="preserve">That all the words after “That” be omitted </w:t>
      </w:r>
      <w:r w:rsidR="00B439FC" w:rsidRPr="00C85EFE">
        <w:rPr>
          <w:rFonts w:ascii="Arial" w:hAnsi="Arial" w:cs="Arial"/>
        </w:rPr>
        <w:t>and replaced with the words “this House refuses to read this Bill a second time until</w:t>
      </w:r>
      <w:r w:rsidR="00DB73FA" w:rsidRPr="00C85EFE">
        <w:rPr>
          <w:rFonts w:ascii="Arial" w:hAnsi="Arial" w:cs="Arial"/>
        </w:rPr>
        <w:t xml:space="preserve"> </w:t>
      </w:r>
      <w:r w:rsidR="00747621" w:rsidRPr="00C85EFE">
        <w:rPr>
          <w:rFonts w:ascii="Arial" w:hAnsi="Arial" w:cs="Arial"/>
        </w:rPr>
        <w:t xml:space="preserve">a Select Committee of eight Members is appointed to inquire into, consider and </w:t>
      </w:r>
      <w:r w:rsidR="00C85EFE">
        <w:rPr>
          <w:rFonts w:ascii="Arial" w:hAnsi="Arial" w:cs="Arial"/>
        </w:rPr>
        <w:t xml:space="preserve">their </w:t>
      </w:r>
      <w:r w:rsidR="00747621" w:rsidRPr="00C85EFE">
        <w:rPr>
          <w:rFonts w:ascii="Arial" w:hAnsi="Arial" w:cs="Arial"/>
        </w:rPr>
        <w:t>report</w:t>
      </w:r>
      <w:r w:rsidR="00C85EFE">
        <w:rPr>
          <w:rFonts w:ascii="Arial" w:hAnsi="Arial" w:cs="Arial"/>
        </w:rPr>
        <w:t xml:space="preserve"> is presented to the House</w:t>
      </w:r>
      <w:r w:rsidR="00747621" w:rsidRPr="00C85EFE">
        <w:rPr>
          <w:rFonts w:ascii="Arial" w:hAnsi="Arial" w:cs="Arial"/>
        </w:rPr>
        <w:t xml:space="preserve">, no later than 2 August 2021, </w:t>
      </w:r>
      <w:r w:rsidR="00C85EFE">
        <w:rPr>
          <w:rFonts w:ascii="Arial" w:hAnsi="Arial" w:cs="Arial"/>
        </w:rPr>
        <w:t>in accordance with the following terms —</w:t>
      </w:r>
    </w:p>
    <w:p w14:paraId="61498F36" w14:textId="77777777" w:rsidR="00B439FC" w:rsidRPr="00C85EFE" w:rsidRDefault="00C85EFE" w:rsidP="00C85EFE">
      <w:pPr>
        <w:spacing w:after="0"/>
        <w:ind w:left="567" w:hanging="567"/>
        <w:jc w:val="both"/>
        <w:rPr>
          <w:rFonts w:ascii="Arial" w:hAnsi="Arial" w:cs="Arial"/>
        </w:rPr>
      </w:pPr>
      <w:r>
        <w:rPr>
          <w:rFonts w:ascii="Arial" w:hAnsi="Arial" w:cs="Arial"/>
        </w:rPr>
        <w:t>(1)</w:t>
      </w:r>
      <w:r>
        <w:rPr>
          <w:rFonts w:ascii="Arial" w:hAnsi="Arial" w:cs="Arial"/>
        </w:rPr>
        <w:tab/>
        <w:t xml:space="preserve">the Committee will examine </w:t>
      </w:r>
      <w:r w:rsidR="00747621" w:rsidRPr="00C85EFE">
        <w:rPr>
          <w:rFonts w:ascii="Arial" w:hAnsi="Arial" w:cs="Arial"/>
        </w:rPr>
        <w:t xml:space="preserve">the potential legal and democratic consequences of utilising the entrenchment provisions of the </w:t>
      </w:r>
      <w:r w:rsidR="00747621" w:rsidRPr="00C85EFE">
        <w:rPr>
          <w:rFonts w:ascii="Arial" w:hAnsi="Arial" w:cs="Arial"/>
          <w:i/>
        </w:rPr>
        <w:t>Constitution Act 1975</w:t>
      </w:r>
      <w:r w:rsidR="00747621" w:rsidRPr="00C85EFE">
        <w:rPr>
          <w:rFonts w:ascii="Arial" w:hAnsi="Arial" w:cs="Arial"/>
        </w:rPr>
        <w:t xml:space="preserve"> to enshrine Government policy priorities as contemplated by the Constitution Amendment (Fracking Ban) Bill 2020</w:t>
      </w:r>
      <w:r>
        <w:rPr>
          <w:rFonts w:ascii="Arial" w:hAnsi="Arial" w:cs="Arial"/>
        </w:rPr>
        <w:t xml:space="preserve">, and in </w:t>
      </w:r>
      <w:r w:rsidR="00747621" w:rsidRPr="00C85EFE">
        <w:rPr>
          <w:rFonts w:ascii="Arial" w:hAnsi="Arial" w:cs="Arial"/>
        </w:rPr>
        <w:t>particular</w:t>
      </w:r>
      <w:r w:rsidR="0063657D" w:rsidRPr="00C85EFE">
        <w:rPr>
          <w:rFonts w:ascii="Arial" w:hAnsi="Arial" w:cs="Arial"/>
        </w:rPr>
        <w:t xml:space="preserve"> </w:t>
      </w:r>
      <w:r w:rsidR="00747621" w:rsidRPr="00C85EFE">
        <w:rPr>
          <w:rFonts w:ascii="Arial" w:hAnsi="Arial" w:cs="Arial"/>
        </w:rPr>
        <w:t>—</w:t>
      </w:r>
    </w:p>
    <w:p w14:paraId="5E07EE45" w14:textId="77777777" w:rsidR="000F758B" w:rsidRPr="00C85EFE" w:rsidRDefault="00B439FC" w:rsidP="005D17EA">
      <w:pPr>
        <w:spacing w:after="0"/>
        <w:ind w:left="1134" w:hanging="567"/>
        <w:jc w:val="both"/>
        <w:rPr>
          <w:rFonts w:ascii="Arial" w:hAnsi="Arial" w:cs="Arial"/>
        </w:rPr>
      </w:pPr>
      <w:r w:rsidRPr="00C85EFE">
        <w:rPr>
          <w:rFonts w:ascii="Arial" w:hAnsi="Arial" w:cs="Arial"/>
        </w:rPr>
        <w:t>(</w:t>
      </w:r>
      <w:r w:rsidR="0063657D" w:rsidRPr="00C85EFE">
        <w:rPr>
          <w:rFonts w:ascii="Arial" w:hAnsi="Arial" w:cs="Arial"/>
        </w:rPr>
        <w:t>a</w:t>
      </w:r>
      <w:r w:rsidRPr="00C85EFE">
        <w:rPr>
          <w:rFonts w:ascii="Arial" w:hAnsi="Arial" w:cs="Arial"/>
        </w:rPr>
        <w:t>)</w:t>
      </w:r>
      <w:r w:rsidRPr="00C85EFE">
        <w:rPr>
          <w:rFonts w:ascii="Arial" w:hAnsi="Arial" w:cs="Arial"/>
        </w:rPr>
        <w:tab/>
      </w:r>
      <w:r w:rsidR="0063657D" w:rsidRPr="00C85EFE">
        <w:rPr>
          <w:rFonts w:ascii="Arial" w:hAnsi="Arial" w:cs="Arial"/>
        </w:rPr>
        <w:t>the views and opinions of academic and legal experts</w:t>
      </w:r>
      <w:r w:rsidR="000F758B" w:rsidRPr="00C85EFE">
        <w:rPr>
          <w:rFonts w:ascii="Arial" w:hAnsi="Arial" w:cs="Arial"/>
        </w:rPr>
        <w:t>;</w:t>
      </w:r>
    </w:p>
    <w:p w14:paraId="714CBD3B" w14:textId="77777777" w:rsidR="0063657D" w:rsidRPr="00C85EFE" w:rsidRDefault="0063657D" w:rsidP="005D17EA">
      <w:pPr>
        <w:spacing w:after="0"/>
        <w:ind w:left="1134" w:hanging="567"/>
        <w:jc w:val="both"/>
        <w:rPr>
          <w:rFonts w:ascii="Arial" w:hAnsi="Arial" w:cs="Arial"/>
        </w:rPr>
      </w:pPr>
      <w:r w:rsidRPr="00C85EFE">
        <w:rPr>
          <w:rFonts w:ascii="Arial" w:hAnsi="Arial" w:cs="Arial"/>
        </w:rPr>
        <w:t>(b)</w:t>
      </w:r>
      <w:r w:rsidRPr="00C85EFE">
        <w:rPr>
          <w:rFonts w:ascii="Arial" w:hAnsi="Arial" w:cs="Arial"/>
        </w:rPr>
        <w:tab/>
        <w:t>the nature and intent of section 6 of the Australia Act 1986 (</w:t>
      </w:r>
      <w:proofErr w:type="spellStart"/>
      <w:r w:rsidRPr="00C85EFE">
        <w:rPr>
          <w:rFonts w:ascii="Arial" w:hAnsi="Arial" w:cs="Arial"/>
        </w:rPr>
        <w:t>Cth</w:t>
      </w:r>
      <w:proofErr w:type="spellEnd"/>
      <w:r w:rsidRPr="00C85EFE">
        <w:rPr>
          <w:rFonts w:ascii="Arial" w:hAnsi="Arial" w:cs="Arial"/>
        </w:rPr>
        <w:t>) and the implications for this Bill;</w:t>
      </w:r>
    </w:p>
    <w:p w14:paraId="28047D6A" w14:textId="77777777" w:rsidR="0063657D" w:rsidRPr="00C85EFE" w:rsidRDefault="0063657D" w:rsidP="005D17EA">
      <w:pPr>
        <w:spacing w:after="0"/>
        <w:ind w:left="1134" w:hanging="567"/>
        <w:jc w:val="both"/>
        <w:rPr>
          <w:rFonts w:ascii="Arial" w:hAnsi="Arial" w:cs="Arial"/>
        </w:rPr>
      </w:pPr>
      <w:r w:rsidRPr="00C85EFE">
        <w:rPr>
          <w:rFonts w:ascii="Arial" w:hAnsi="Arial" w:cs="Arial"/>
        </w:rPr>
        <w:t>(c)</w:t>
      </w:r>
      <w:r w:rsidRPr="00C85EFE">
        <w:rPr>
          <w:rFonts w:ascii="Arial" w:hAnsi="Arial" w:cs="Arial"/>
        </w:rPr>
        <w:tab/>
        <w:t>relevant case law from the High Court of Australia;</w:t>
      </w:r>
    </w:p>
    <w:p w14:paraId="4F4C2472" w14:textId="77777777" w:rsidR="0063657D" w:rsidRPr="00C85EFE" w:rsidRDefault="0063657D" w:rsidP="005D17EA">
      <w:pPr>
        <w:spacing w:after="0"/>
        <w:ind w:left="1134" w:hanging="567"/>
        <w:jc w:val="both"/>
        <w:rPr>
          <w:rFonts w:ascii="Arial" w:hAnsi="Arial" w:cs="Arial"/>
        </w:rPr>
      </w:pPr>
      <w:r w:rsidRPr="00C85EFE">
        <w:rPr>
          <w:rFonts w:ascii="Arial" w:hAnsi="Arial" w:cs="Arial"/>
        </w:rPr>
        <w:t>(d)</w:t>
      </w:r>
      <w:r w:rsidRPr="00C85EFE">
        <w:rPr>
          <w:rFonts w:ascii="Arial" w:hAnsi="Arial" w:cs="Arial"/>
        </w:rPr>
        <w:tab/>
        <w:t>any legal advice the Government received in drafting the Bill;</w:t>
      </w:r>
    </w:p>
    <w:p w14:paraId="371F1A8F" w14:textId="77777777" w:rsidR="0063657D" w:rsidRPr="00C85EFE" w:rsidRDefault="0063657D" w:rsidP="005D17EA">
      <w:pPr>
        <w:spacing w:after="0"/>
        <w:ind w:left="1134" w:hanging="567"/>
        <w:jc w:val="both"/>
        <w:rPr>
          <w:rFonts w:ascii="Arial" w:hAnsi="Arial" w:cs="Arial"/>
          <w:iCs/>
        </w:rPr>
      </w:pPr>
      <w:r w:rsidRPr="00C85EFE">
        <w:rPr>
          <w:rFonts w:ascii="Arial" w:hAnsi="Arial" w:cs="Arial"/>
        </w:rPr>
        <w:t>(e)</w:t>
      </w:r>
      <w:r w:rsidRPr="00C85EFE">
        <w:rPr>
          <w:rFonts w:ascii="Arial" w:hAnsi="Arial" w:cs="Arial"/>
        </w:rPr>
        <w:tab/>
        <w:t>community views on the role of the Victorian Constitution;</w:t>
      </w:r>
    </w:p>
    <w:p w14:paraId="3F4A9E11" w14:textId="77777777" w:rsidR="000F758B" w:rsidRPr="00C85EFE" w:rsidRDefault="000F758B" w:rsidP="005D17EA">
      <w:pPr>
        <w:spacing w:after="0"/>
        <w:ind w:left="567" w:hanging="567"/>
        <w:jc w:val="both"/>
        <w:rPr>
          <w:rFonts w:ascii="Arial" w:hAnsi="Arial" w:cs="Arial"/>
          <w:iCs/>
          <w:color w:val="000000"/>
        </w:rPr>
      </w:pPr>
      <w:r w:rsidRPr="00C85EFE">
        <w:rPr>
          <w:rFonts w:ascii="Arial" w:hAnsi="Arial" w:cs="Arial"/>
          <w:iCs/>
          <w:color w:val="000000"/>
        </w:rPr>
        <w:t>(</w:t>
      </w:r>
      <w:r w:rsidR="0063657D" w:rsidRPr="00C85EFE">
        <w:rPr>
          <w:rFonts w:ascii="Arial" w:hAnsi="Arial" w:cs="Arial"/>
          <w:iCs/>
          <w:color w:val="000000"/>
        </w:rPr>
        <w:t>2</w:t>
      </w:r>
      <w:r w:rsidRPr="00C85EFE">
        <w:rPr>
          <w:rFonts w:ascii="Arial" w:hAnsi="Arial" w:cs="Arial"/>
          <w:iCs/>
          <w:color w:val="000000"/>
        </w:rPr>
        <w:t>)</w:t>
      </w:r>
      <w:r w:rsidRPr="00C85EFE">
        <w:rPr>
          <w:rFonts w:ascii="Arial" w:hAnsi="Arial" w:cs="Arial"/>
          <w:iCs/>
          <w:color w:val="000000"/>
        </w:rPr>
        <w:tab/>
      </w:r>
      <w:r w:rsidR="0063657D" w:rsidRPr="00C85EFE">
        <w:rPr>
          <w:rFonts w:ascii="Arial" w:hAnsi="Arial" w:cs="Arial"/>
          <w:iCs/>
          <w:color w:val="000000"/>
        </w:rPr>
        <w:t>the Committee will consist of four Members from the Government Party nominated by the Leader of the Government in the Council, two Members from the Opposition nominated by the Leader of the Opposition in the Council, two Members from among the remaining Members in the Council nominated jointly by minority groups and independent Members;</w:t>
      </w:r>
    </w:p>
    <w:p w14:paraId="2C9EBBE8" w14:textId="77777777" w:rsidR="0063657D" w:rsidRPr="00C85EFE" w:rsidRDefault="0063657D" w:rsidP="005D17EA">
      <w:pPr>
        <w:spacing w:after="0"/>
        <w:ind w:left="567" w:hanging="567"/>
        <w:jc w:val="both"/>
        <w:rPr>
          <w:rFonts w:ascii="Arial" w:hAnsi="Arial" w:cs="Arial"/>
          <w:iCs/>
          <w:color w:val="000000"/>
        </w:rPr>
      </w:pPr>
      <w:r w:rsidRPr="00C85EFE">
        <w:rPr>
          <w:rFonts w:ascii="Arial" w:hAnsi="Arial" w:cs="Arial"/>
          <w:iCs/>
          <w:color w:val="000000"/>
        </w:rPr>
        <w:t>(3)</w:t>
      </w:r>
      <w:r w:rsidRPr="00C85EFE">
        <w:rPr>
          <w:rFonts w:ascii="Arial" w:hAnsi="Arial" w:cs="Arial"/>
          <w:iCs/>
          <w:color w:val="000000"/>
        </w:rPr>
        <w:tab/>
        <w:t xml:space="preserve">the Members will be appointed by lodgement of the names with the President by the persons referred to in paragraph (2) no later than 4.00 p.m. on the </w:t>
      </w:r>
      <w:r w:rsidR="00675D0F" w:rsidRPr="00C85EFE">
        <w:rPr>
          <w:rFonts w:ascii="Arial" w:hAnsi="Arial" w:cs="Arial"/>
          <w:iCs/>
          <w:color w:val="000000"/>
        </w:rPr>
        <w:t>day</w:t>
      </w:r>
      <w:r w:rsidRPr="00C85EFE">
        <w:rPr>
          <w:rFonts w:ascii="Arial" w:hAnsi="Arial" w:cs="Arial"/>
          <w:iCs/>
          <w:color w:val="000000"/>
        </w:rPr>
        <w:t xml:space="preserve"> following the </w:t>
      </w:r>
      <w:r w:rsidR="00675D0F" w:rsidRPr="00C85EFE">
        <w:rPr>
          <w:rFonts w:ascii="Arial" w:hAnsi="Arial" w:cs="Arial"/>
          <w:iCs/>
          <w:color w:val="000000"/>
        </w:rPr>
        <w:t>House resolving to establish the Committee</w:t>
      </w:r>
      <w:r w:rsidRPr="00C85EFE">
        <w:rPr>
          <w:rFonts w:ascii="Arial" w:hAnsi="Arial" w:cs="Arial"/>
          <w:iCs/>
          <w:color w:val="000000"/>
        </w:rPr>
        <w:t>;</w:t>
      </w:r>
    </w:p>
    <w:p w14:paraId="609B82EE" w14:textId="77777777" w:rsidR="0063657D" w:rsidRPr="00C85EFE" w:rsidRDefault="0063657D" w:rsidP="005D17EA">
      <w:pPr>
        <w:spacing w:after="0"/>
        <w:ind w:left="567" w:hanging="567"/>
        <w:jc w:val="both"/>
        <w:rPr>
          <w:rFonts w:ascii="Arial" w:hAnsi="Arial" w:cs="Arial"/>
          <w:iCs/>
          <w:color w:val="000000"/>
        </w:rPr>
      </w:pPr>
      <w:r w:rsidRPr="00C85EFE">
        <w:rPr>
          <w:rFonts w:ascii="Arial" w:hAnsi="Arial" w:cs="Arial"/>
          <w:iCs/>
          <w:color w:val="000000"/>
        </w:rPr>
        <w:t>(4)</w:t>
      </w:r>
      <w:r w:rsidRPr="00C85EFE">
        <w:rPr>
          <w:rFonts w:ascii="Arial" w:hAnsi="Arial" w:cs="Arial"/>
          <w:iCs/>
          <w:color w:val="000000"/>
        </w:rPr>
        <w:tab/>
        <w:t>the first meeting of the Committee must be held no later than 14 days after the day on which</w:t>
      </w:r>
      <w:r w:rsidR="00675D0F" w:rsidRPr="00C85EFE">
        <w:rPr>
          <w:rFonts w:ascii="Arial" w:hAnsi="Arial" w:cs="Arial"/>
          <w:iCs/>
          <w:color w:val="000000"/>
        </w:rPr>
        <w:t xml:space="preserve"> the</w:t>
      </w:r>
      <w:r w:rsidRPr="00C85EFE">
        <w:rPr>
          <w:rFonts w:ascii="Arial" w:hAnsi="Arial" w:cs="Arial"/>
          <w:iCs/>
          <w:color w:val="000000"/>
        </w:rPr>
        <w:t xml:space="preserve"> </w:t>
      </w:r>
      <w:r w:rsidR="00675D0F" w:rsidRPr="00C85EFE">
        <w:rPr>
          <w:rFonts w:ascii="Arial" w:hAnsi="Arial" w:cs="Arial"/>
          <w:iCs/>
          <w:color w:val="000000"/>
        </w:rPr>
        <w:t>House resolves to establish the Committee</w:t>
      </w:r>
      <w:r w:rsidRPr="00C85EFE">
        <w:rPr>
          <w:rFonts w:ascii="Arial" w:hAnsi="Arial" w:cs="Arial"/>
          <w:iCs/>
          <w:color w:val="000000"/>
        </w:rPr>
        <w:t>;</w:t>
      </w:r>
    </w:p>
    <w:p w14:paraId="48FAC186" w14:textId="77777777" w:rsidR="0063657D" w:rsidRPr="00C85EFE" w:rsidRDefault="0063657D" w:rsidP="005D17EA">
      <w:pPr>
        <w:spacing w:after="0"/>
        <w:ind w:left="567" w:hanging="567"/>
        <w:jc w:val="both"/>
        <w:rPr>
          <w:rFonts w:ascii="Arial" w:hAnsi="Arial" w:cs="Arial"/>
          <w:iCs/>
          <w:color w:val="000000"/>
        </w:rPr>
      </w:pPr>
      <w:r w:rsidRPr="00C85EFE">
        <w:rPr>
          <w:rFonts w:ascii="Arial" w:hAnsi="Arial" w:cs="Arial"/>
          <w:iCs/>
          <w:color w:val="000000"/>
        </w:rPr>
        <w:t>(5)</w:t>
      </w:r>
      <w:r w:rsidRPr="00C85EFE">
        <w:rPr>
          <w:rFonts w:ascii="Arial" w:hAnsi="Arial" w:cs="Arial"/>
          <w:iCs/>
          <w:color w:val="000000"/>
        </w:rPr>
        <w:tab/>
        <w:t>the Committee may proceed to the despatch of business notwithstanding that all Members have not been appointed and notwithstanding any vacancy;</w:t>
      </w:r>
    </w:p>
    <w:p w14:paraId="56DEFC15" w14:textId="2ED8AEC4" w:rsidR="0063657D" w:rsidRPr="00C85EFE" w:rsidRDefault="0063657D" w:rsidP="005D17EA">
      <w:pPr>
        <w:spacing w:after="0"/>
        <w:ind w:left="567" w:hanging="567"/>
        <w:jc w:val="both"/>
        <w:rPr>
          <w:rFonts w:ascii="Arial" w:hAnsi="Arial" w:cs="Arial"/>
          <w:iCs/>
          <w:color w:val="000000"/>
        </w:rPr>
      </w:pPr>
      <w:r w:rsidRPr="00C85EFE">
        <w:rPr>
          <w:rFonts w:ascii="Arial" w:hAnsi="Arial" w:cs="Arial"/>
          <w:iCs/>
          <w:color w:val="000000"/>
        </w:rPr>
        <w:t>(6)</w:t>
      </w:r>
      <w:r w:rsidRPr="00C85EFE">
        <w:rPr>
          <w:rFonts w:ascii="Arial" w:hAnsi="Arial" w:cs="Arial"/>
          <w:iCs/>
          <w:color w:val="000000"/>
        </w:rPr>
        <w:tab/>
      </w:r>
      <w:r w:rsidR="00E053E0" w:rsidRPr="00E053E0">
        <w:rPr>
          <w:rFonts w:ascii="Arial" w:hAnsi="Arial" w:cs="Arial"/>
          <w:iCs/>
          <w:color w:val="000000"/>
        </w:rPr>
        <w:t xml:space="preserve">one half of the </w:t>
      </w:r>
      <w:r w:rsidR="00E053E0">
        <w:rPr>
          <w:rFonts w:ascii="Arial" w:hAnsi="Arial" w:cs="Arial"/>
          <w:iCs/>
          <w:color w:val="000000"/>
        </w:rPr>
        <w:t>M</w:t>
      </w:r>
      <w:r w:rsidR="00E053E0" w:rsidRPr="00E053E0">
        <w:rPr>
          <w:rFonts w:ascii="Arial" w:hAnsi="Arial" w:cs="Arial"/>
          <w:iCs/>
          <w:color w:val="000000"/>
        </w:rPr>
        <w:t>embers appointed</w:t>
      </w:r>
      <w:r w:rsidR="00E053E0">
        <w:rPr>
          <w:rFonts w:ascii="Arial" w:hAnsi="Arial" w:cs="Arial"/>
          <w:iCs/>
          <w:color w:val="000000"/>
        </w:rPr>
        <w:t xml:space="preserve"> </w:t>
      </w:r>
      <w:r w:rsidRPr="00C85EFE">
        <w:rPr>
          <w:rFonts w:ascii="Arial" w:hAnsi="Arial" w:cs="Arial"/>
          <w:iCs/>
          <w:color w:val="000000"/>
        </w:rPr>
        <w:t>pursuant to paragraph (3) will constitute a quorum of the Committee</w:t>
      </w:r>
      <w:r w:rsidR="00E053E0">
        <w:rPr>
          <w:rFonts w:ascii="Arial" w:hAnsi="Arial" w:cs="Arial"/>
          <w:iCs/>
          <w:color w:val="000000"/>
        </w:rPr>
        <w:t>;</w:t>
      </w:r>
    </w:p>
    <w:p w14:paraId="437999A1" w14:textId="77777777" w:rsidR="0063657D" w:rsidRPr="00C85EFE" w:rsidRDefault="0063657D" w:rsidP="005D17EA">
      <w:pPr>
        <w:spacing w:after="0"/>
        <w:ind w:left="567" w:hanging="567"/>
        <w:jc w:val="both"/>
        <w:rPr>
          <w:rFonts w:ascii="Arial" w:hAnsi="Arial" w:cs="Arial"/>
          <w:iCs/>
          <w:color w:val="000000"/>
        </w:rPr>
      </w:pPr>
      <w:r w:rsidRPr="00C85EFE">
        <w:rPr>
          <w:rFonts w:ascii="Arial" w:hAnsi="Arial" w:cs="Arial"/>
          <w:iCs/>
          <w:color w:val="000000"/>
        </w:rPr>
        <w:t>(7)</w:t>
      </w:r>
      <w:r w:rsidRPr="00C85EFE">
        <w:rPr>
          <w:rFonts w:ascii="Arial" w:hAnsi="Arial" w:cs="Arial"/>
          <w:iCs/>
          <w:color w:val="000000"/>
        </w:rPr>
        <w:tab/>
        <w:t>the Chair of the Committee will be a non-Government Member and the Deputy Chair will be a Government Member;</w:t>
      </w:r>
    </w:p>
    <w:p w14:paraId="2B0793D3" w14:textId="77777777" w:rsidR="0063657D" w:rsidRPr="00C85EFE" w:rsidRDefault="0063657D" w:rsidP="005D17EA">
      <w:pPr>
        <w:spacing w:after="0"/>
        <w:ind w:left="567" w:hanging="567"/>
        <w:jc w:val="both"/>
        <w:rPr>
          <w:rFonts w:ascii="Arial" w:hAnsi="Arial" w:cs="Arial"/>
          <w:iCs/>
        </w:rPr>
      </w:pPr>
      <w:r w:rsidRPr="00C85EFE">
        <w:rPr>
          <w:rFonts w:ascii="Arial" w:hAnsi="Arial" w:cs="Arial"/>
          <w:iCs/>
        </w:rPr>
        <w:t>(8)</w:t>
      </w:r>
      <w:r w:rsidRPr="00C85EFE">
        <w:rPr>
          <w:rFonts w:ascii="Arial" w:hAnsi="Arial" w:cs="Arial"/>
          <w:iCs/>
        </w:rPr>
        <w:tab/>
        <w:t xml:space="preserve">in addition to exercising a deliberative vote, when votes on a question are equally divided, the Chair, or the Deputy Chair when acting as </w:t>
      </w:r>
      <w:r w:rsidR="00910FDF" w:rsidRPr="00C85EFE">
        <w:rPr>
          <w:rFonts w:ascii="Arial" w:hAnsi="Arial" w:cs="Arial"/>
          <w:iCs/>
        </w:rPr>
        <w:t>c</w:t>
      </w:r>
      <w:r w:rsidRPr="00C85EFE">
        <w:rPr>
          <w:rFonts w:ascii="Arial" w:hAnsi="Arial" w:cs="Arial"/>
          <w:iCs/>
        </w:rPr>
        <w:t>hair, shall have a casting vote;</w:t>
      </w:r>
    </w:p>
    <w:p w14:paraId="5CBED36D" w14:textId="77777777" w:rsidR="0063657D" w:rsidRPr="00C85EFE" w:rsidRDefault="0063657D" w:rsidP="005D17EA">
      <w:pPr>
        <w:spacing w:after="0"/>
        <w:ind w:left="567" w:hanging="567"/>
        <w:jc w:val="both"/>
        <w:rPr>
          <w:rFonts w:ascii="Arial" w:hAnsi="Arial" w:cs="Arial"/>
          <w:iCs/>
        </w:rPr>
      </w:pPr>
      <w:r w:rsidRPr="00C85EFE">
        <w:rPr>
          <w:rFonts w:ascii="Arial" w:hAnsi="Arial" w:cs="Arial"/>
          <w:iCs/>
        </w:rPr>
        <w:t>(9)</w:t>
      </w:r>
      <w:r w:rsidRPr="00C85EFE">
        <w:rPr>
          <w:rFonts w:ascii="Arial" w:hAnsi="Arial" w:cs="Arial"/>
          <w:iCs/>
        </w:rPr>
        <w:tab/>
        <w:t>the Committee may commission persons to investigate and report to the Committee on any aspects of its inquiry;</w:t>
      </w:r>
      <w:r w:rsidR="006A69AD">
        <w:rPr>
          <w:rFonts w:ascii="Arial" w:hAnsi="Arial" w:cs="Arial"/>
          <w:iCs/>
        </w:rPr>
        <w:t xml:space="preserve"> and</w:t>
      </w:r>
    </w:p>
    <w:p w14:paraId="1FC1EB45" w14:textId="77777777" w:rsidR="00C85EFE" w:rsidRPr="00C85EFE" w:rsidRDefault="0063657D" w:rsidP="00C85EFE">
      <w:pPr>
        <w:spacing w:after="0"/>
        <w:ind w:left="567" w:hanging="567"/>
        <w:jc w:val="both"/>
        <w:rPr>
          <w:rFonts w:ascii="Arial" w:hAnsi="Arial" w:cs="Arial"/>
          <w:iCs/>
        </w:rPr>
      </w:pPr>
      <w:r w:rsidRPr="00C85EFE">
        <w:rPr>
          <w:rFonts w:ascii="Arial" w:hAnsi="Arial" w:cs="Arial"/>
          <w:iCs/>
        </w:rPr>
        <w:t>(1</w:t>
      </w:r>
      <w:r w:rsidR="006A69AD">
        <w:rPr>
          <w:rFonts w:ascii="Arial" w:hAnsi="Arial" w:cs="Arial"/>
          <w:iCs/>
        </w:rPr>
        <w:t>0</w:t>
      </w:r>
      <w:r w:rsidRPr="00C85EFE">
        <w:rPr>
          <w:rFonts w:ascii="Arial" w:hAnsi="Arial" w:cs="Arial"/>
          <w:iCs/>
        </w:rPr>
        <w:t>)</w:t>
      </w:r>
      <w:r w:rsidRPr="00C85EFE">
        <w:rPr>
          <w:rFonts w:ascii="Arial" w:hAnsi="Arial" w:cs="Arial"/>
          <w:iCs/>
        </w:rPr>
        <w:tab/>
        <w:t>the foregoing provisions of this resolution, so far as they are inconsistent with the Standing Orders and Sessional Orders or practices of the Council will have effect notwithstanding anything contained in the Standing or Sessional Orders or practices of the Council.</w:t>
      </w:r>
      <w:r w:rsidR="00C85EFE" w:rsidRPr="00C85EFE">
        <w:rPr>
          <w:rFonts w:ascii="Arial" w:hAnsi="Arial" w:cs="Arial"/>
          <w:iCs/>
        </w:rPr>
        <w:t>”.</w:t>
      </w:r>
    </w:p>
    <w:sectPr w:rsidR="00C85EFE" w:rsidRPr="00C85E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CCB9" w14:textId="77777777" w:rsidR="0063657D" w:rsidRDefault="0063657D" w:rsidP="002B555E">
      <w:pPr>
        <w:spacing w:after="0" w:line="240" w:lineRule="auto"/>
      </w:pPr>
      <w:r>
        <w:separator/>
      </w:r>
    </w:p>
  </w:endnote>
  <w:endnote w:type="continuationSeparator" w:id="0">
    <w:p w14:paraId="5436C85E" w14:textId="77777777" w:rsidR="0063657D" w:rsidRDefault="0063657D" w:rsidP="002B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7F3C" w14:textId="77777777" w:rsidR="00D244CB" w:rsidRDefault="00D2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18A" w14:textId="77777777" w:rsidR="0063657D" w:rsidRDefault="003916BD">
    <w:pPr>
      <w:pStyle w:val="Footer"/>
    </w:pPr>
    <w:r>
      <w:fldChar w:fldCharType="begin"/>
    </w:r>
    <w:r>
      <w:instrText xml:space="preserve"> FILENAME  \* Caps \p  \* MERGEFORMAT </w:instrText>
    </w:r>
    <w:r>
      <w:fldChar w:fldCharType="separate"/>
    </w:r>
    <w:r w:rsidR="00D244CB">
      <w:rPr>
        <w:noProof/>
      </w:rPr>
      <w:t>S:\Chouse\Amendments\Reasoned Amendments\Constitution Amendment (Fracking Ban) Bill 2020 - Limbrick Reasoned Amendment.Docx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B3B6" w14:textId="77777777" w:rsidR="00D244CB" w:rsidRDefault="00D2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7468" w14:textId="77777777" w:rsidR="0063657D" w:rsidRDefault="0063657D" w:rsidP="002B555E">
      <w:pPr>
        <w:spacing w:after="0" w:line="240" w:lineRule="auto"/>
      </w:pPr>
      <w:r>
        <w:separator/>
      </w:r>
    </w:p>
  </w:footnote>
  <w:footnote w:type="continuationSeparator" w:id="0">
    <w:p w14:paraId="77AD043B" w14:textId="77777777" w:rsidR="0063657D" w:rsidRDefault="0063657D" w:rsidP="002B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046C" w14:textId="77777777" w:rsidR="00D244CB" w:rsidRDefault="00D24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55D8" w14:textId="77777777" w:rsidR="00D244CB" w:rsidRDefault="00D24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2020" w14:textId="77777777" w:rsidR="00D244CB" w:rsidRDefault="00D24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80E20"/>
    <w:multiLevelType w:val="hybridMultilevel"/>
    <w:tmpl w:val="3A6C9898"/>
    <w:lvl w:ilvl="0" w:tplc="31C0FCEE">
      <w:start w:val="1"/>
      <w:numFmt w:val="lowerRoman"/>
      <w:lvlText w:val="(%1)"/>
      <w:lvlJc w:val="right"/>
      <w:pPr>
        <w:ind w:left="1077" w:hanging="360"/>
      </w:p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64"/>
    <w:rsid w:val="00004D76"/>
    <w:rsid w:val="000076D2"/>
    <w:rsid w:val="000F758B"/>
    <w:rsid w:val="002B555E"/>
    <w:rsid w:val="003916BD"/>
    <w:rsid w:val="004D64A2"/>
    <w:rsid w:val="00506E70"/>
    <w:rsid w:val="005B2E95"/>
    <w:rsid w:val="005D17EA"/>
    <w:rsid w:val="0063657D"/>
    <w:rsid w:val="00651CAA"/>
    <w:rsid w:val="00675D0F"/>
    <w:rsid w:val="006A5F12"/>
    <w:rsid w:val="006A69AD"/>
    <w:rsid w:val="006D05F9"/>
    <w:rsid w:val="00747621"/>
    <w:rsid w:val="007E1483"/>
    <w:rsid w:val="00910FDF"/>
    <w:rsid w:val="009B4589"/>
    <w:rsid w:val="009F1664"/>
    <w:rsid w:val="00A370CD"/>
    <w:rsid w:val="00B439FC"/>
    <w:rsid w:val="00C35122"/>
    <w:rsid w:val="00C85EFE"/>
    <w:rsid w:val="00D244CB"/>
    <w:rsid w:val="00D8457D"/>
    <w:rsid w:val="00DB73FA"/>
    <w:rsid w:val="00E04BDE"/>
    <w:rsid w:val="00E053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1774B"/>
  <w15:chartTrackingRefBased/>
  <w15:docId w15:val="{AEC98242-F927-483D-8A62-C6EF7E61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55E"/>
    <w:rPr>
      <w:rFonts w:ascii="Segoe UI" w:hAnsi="Segoe UI" w:cs="Segoe UI"/>
      <w:sz w:val="18"/>
      <w:szCs w:val="18"/>
    </w:rPr>
  </w:style>
  <w:style w:type="paragraph" w:styleId="Header">
    <w:name w:val="header"/>
    <w:basedOn w:val="Normal"/>
    <w:link w:val="HeaderChar"/>
    <w:uiPriority w:val="99"/>
    <w:unhideWhenUsed/>
    <w:rsid w:val="002B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55E"/>
  </w:style>
  <w:style w:type="paragraph" w:styleId="Footer">
    <w:name w:val="footer"/>
    <w:basedOn w:val="Normal"/>
    <w:link w:val="FooterChar"/>
    <w:uiPriority w:val="99"/>
    <w:unhideWhenUsed/>
    <w:rsid w:val="002B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55E"/>
  </w:style>
  <w:style w:type="paragraph" w:styleId="ListParagraph">
    <w:name w:val="List Paragraph"/>
    <w:basedOn w:val="Normal"/>
    <w:uiPriority w:val="34"/>
    <w:qFormat/>
    <w:rsid w:val="000F758B"/>
    <w:pPr>
      <w:spacing w:after="200" w:line="276" w:lineRule="auto"/>
      <w:ind w:left="720"/>
      <w:contextualSpacing/>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4069">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Bannan</dc:creator>
  <cp:keywords/>
  <dc:description/>
  <cp:lastModifiedBy>Juliana Duan</cp:lastModifiedBy>
  <cp:revision>2</cp:revision>
  <cp:lastPrinted>2021-02-01T04:22:00Z</cp:lastPrinted>
  <dcterms:created xsi:type="dcterms:W3CDTF">2021-03-04T03:43:00Z</dcterms:created>
  <dcterms:modified xsi:type="dcterms:W3CDTF">2021-03-04T03:43:00Z</dcterms:modified>
</cp:coreProperties>
</file>