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157784">
        <w:rPr>
          <w:b/>
          <w:sz w:val="24"/>
        </w:rPr>
        <w:t>Gambling Regulation Act 2003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</w:t>
      </w:r>
      <w:r w:rsidR="00157784">
        <w:rPr>
          <w:b/>
          <w:sz w:val="24"/>
        </w:rPr>
        <w:t>3</w:t>
      </w:r>
      <w:r w:rsidR="00FD4FC0">
        <w:rPr>
          <w:b/>
          <w:sz w:val="24"/>
        </w:rPr>
        <w:t>6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The amendment made to section </w:t>
      </w:r>
      <w:r w:rsidR="00157784">
        <w:rPr>
          <w:sz w:val="24"/>
        </w:rPr>
        <w:t>3.4.4(1)</w:t>
      </w:r>
      <w:r>
        <w:rPr>
          <w:sz w:val="24"/>
        </w:rPr>
        <w:t xml:space="preserve"> of the </w:t>
      </w:r>
      <w:r w:rsidR="00157784" w:rsidRPr="00157784">
        <w:rPr>
          <w:b/>
          <w:sz w:val="24"/>
        </w:rPr>
        <w:t>Gambling Regulation Act 2003</w:t>
      </w:r>
      <w:r>
        <w:rPr>
          <w:sz w:val="24"/>
        </w:rPr>
        <w:t xml:space="preserve"> by section </w:t>
      </w:r>
      <w:r w:rsidR="00157784">
        <w:rPr>
          <w:sz w:val="24"/>
        </w:rPr>
        <w:t>19(2)</w:t>
      </w:r>
      <w:r>
        <w:rPr>
          <w:sz w:val="24"/>
        </w:rPr>
        <w:t xml:space="preserve"> of the </w:t>
      </w:r>
      <w:r w:rsidR="00157784">
        <w:rPr>
          <w:b/>
          <w:sz w:val="24"/>
        </w:rPr>
        <w:t>Gambling Regulation Further Amendment Act 2009</w:t>
      </w:r>
      <w:r>
        <w:rPr>
          <w:sz w:val="24"/>
        </w:rPr>
        <w:t>, No. </w:t>
      </w:r>
      <w:r w:rsidR="00157784">
        <w:rPr>
          <w:sz w:val="24"/>
        </w:rPr>
        <w:t>58</w:t>
      </w:r>
      <w:r>
        <w:rPr>
          <w:sz w:val="24"/>
        </w:rPr>
        <w:t>/200</w:t>
      </w:r>
      <w:r w:rsidR="00157784">
        <w:rPr>
          <w:sz w:val="24"/>
        </w:rPr>
        <w:t>9</w:t>
      </w:r>
      <w:r>
        <w:rPr>
          <w:sz w:val="24"/>
        </w:rPr>
        <w:t xml:space="preserve"> came into operation on </w:t>
      </w:r>
      <w:r w:rsidR="00157784">
        <w:rPr>
          <w:sz w:val="24"/>
        </w:rPr>
        <w:t>21 October 2009</w:t>
      </w:r>
      <w:r>
        <w:rPr>
          <w:sz w:val="24"/>
        </w:rPr>
        <w:t>.</w:t>
      </w: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Section </w:t>
      </w:r>
      <w:r w:rsidR="00157784">
        <w:rPr>
          <w:sz w:val="24"/>
        </w:rPr>
        <w:t>19(2)</w:t>
      </w:r>
      <w:r>
        <w:rPr>
          <w:sz w:val="24"/>
        </w:rPr>
        <w:t xml:space="preserve"> reads as follows:</w:t>
      </w:r>
    </w:p>
    <w:p w:rsidR="00F103A0" w:rsidRDefault="00F103A0" w:rsidP="00F103A0">
      <w:pPr>
        <w:rPr>
          <w:sz w:val="24"/>
        </w:rPr>
      </w:pPr>
    </w:p>
    <w:p w:rsidR="00157784" w:rsidRDefault="00157784" w:rsidP="00A67CD0">
      <w:pPr>
        <w:pStyle w:val="DraftHeading1"/>
        <w:tabs>
          <w:tab w:val="left" w:pos="426"/>
          <w:tab w:val="left" w:pos="851"/>
        </w:tabs>
        <w:ind w:left="426" w:hanging="426"/>
      </w:pPr>
      <w:r>
        <w:tab/>
      </w:r>
      <w:r w:rsidR="00A67CD0">
        <w:t>19</w:t>
      </w:r>
      <w:r w:rsidR="00A67CD0">
        <w:tab/>
      </w:r>
      <w:r w:rsidRPr="00157784">
        <w:t>Authority conferred by monitoring licence</w:t>
      </w:r>
    </w:p>
    <w:p w:rsidR="00157784" w:rsidRDefault="00157784" w:rsidP="00157784">
      <w:pPr>
        <w:pStyle w:val="BodySectionSub"/>
        <w:ind w:left="851"/>
        <w:rPr>
          <w:lang w:eastAsia="en-AU"/>
        </w:rPr>
      </w:pPr>
      <w:r>
        <w:rPr>
          <w:lang w:eastAsia="en-AU"/>
        </w:rPr>
        <w:t>(2) In section 3.4.4(1</w:t>
      </w:r>
      <w:proofErr w:type="gramStart"/>
      <w:r>
        <w:rPr>
          <w:lang w:eastAsia="en-AU"/>
        </w:rPr>
        <w:t>)(</w:t>
      </w:r>
      <w:proofErr w:type="gramEnd"/>
      <w:r>
        <w:rPr>
          <w:lang w:eastAsia="en-AU"/>
        </w:rPr>
        <w:t xml:space="preserve">c) of the Principal Act </w:t>
      </w:r>
      <w:r>
        <w:rPr>
          <w:rFonts w:ascii="TimesNewRomanPS-BoldMT" w:hAnsi="TimesNewRomanPS-BoldMT" w:cs="TimesNewRomanPS-BoldMT"/>
          <w:b/>
          <w:bCs/>
          <w:lang w:eastAsia="en-AU"/>
        </w:rPr>
        <w:t>insert</w:t>
      </w:r>
      <w:r>
        <w:rPr>
          <w:lang w:eastAsia="en-AU"/>
        </w:rPr>
        <w:t xml:space="preserve">— </w:t>
      </w:r>
    </w:p>
    <w:p w:rsidR="00157784" w:rsidRDefault="00157784" w:rsidP="00157784">
      <w:pPr>
        <w:pStyle w:val="AmendHeading1s"/>
        <w:ind w:left="1843" w:hanging="709"/>
      </w:pPr>
      <w:r>
        <w:t>"(ca)</w:t>
      </w:r>
      <w:r>
        <w:tab/>
        <w:t>to provide, in accordance with a direction under section 3.4.49 (if any), systems and mechanisms that implement responsible gambling measures for the conduct of gaming; and".</w:t>
      </w:r>
    </w:p>
    <w:p w:rsidR="00F103A0" w:rsidRPr="00157784" w:rsidRDefault="00F103A0" w:rsidP="00F103A0">
      <w:pPr>
        <w:rPr>
          <w:sz w:val="24"/>
          <w:highlight w:val="yellow"/>
        </w:rPr>
      </w:pPr>
    </w:p>
    <w:p w:rsidR="00F103A0" w:rsidRPr="00157784" w:rsidRDefault="00F103A0" w:rsidP="00F103A0">
      <w:pPr>
        <w:rPr>
          <w:sz w:val="24"/>
          <w:highlight w:val="yellow"/>
        </w:rPr>
      </w:pPr>
    </w:p>
    <w:p w:rsidR="00F103A0" w:rsidRPr="00157784" w:rsidRDefault="00F103A0" w:rsidP="00F103A0">
      <w:pPr>
        <w:rPr>
          <w:bCs/>
          <w:sz w:val="24"/>
        </w:rPr>
      </w:pPr>
      <w:r w:rsidRPr="00157784">
        <w:rPr>
          <w:sz w:val="24"/>
        </w:rPr>
        <w:t xml:space="preserve">Section </w:t>
      </w:r>
      <w:r w:rsidR="00157784">
        <w:rPr>
          <w:sz w:val="24"/>
        </w:rPr>
        <w:t>19(2)</w:t>
      </w:r>
      <w:r w:rsidRPr="00157784">
        <w:rPr>
          <w:sz w:val="24"/>
        </w:rPr>
        <w:t xml:space="preserve"> of the </w:t>
      </w:r>
      <w:r w:rsidR="00157784">
        <w:rPr>
          <w:b/>
          <w:sz w:val="24"/>
        </w:rPr>
        <w:t>Gambling Regulation Further Amendment Act 2009</w:t>
      </w:r>
      <w:r w:rsidRPr="00157784">
        <w:rPr>
          <w:sz w:val="24"/>
        </w:rPr>
        <w:t>, No. </w:t>
      </w:r>
      <w:r w:rsidR="00157784">
        <w:rPr>
          <w:sz w:val="24"/>
        </w:rPr>
        <w:t xml:space="preserve">58/2009 </w:t>
      </w:r>
      <w:r w:rsidRPr="00157784">
        <w:rPr>
          <w:bCs/>
          <w:sz w:val="24"/>
        </w:rPr>
        <w:t xml:space="preserve">was amended by </w:t>
      </w:r>
      <w:r w:rsidR="00FC43F5" w:rsidRPr="00157784">
        <w:rPr>
          <w:bCs/>
          <w:sz w:val="24"/>
        </w:rPr>
        <w:t>section 3(</w:t>
      </w:r>
      <w:r w:rsidRPr="00157784">
        <w:rPr>
          <w:bCs/>
          <w:sz w:val="24"/>
        </w:rPr>
        <w:t xml:space="preserve">Schedule 1 item </w:t>
      </w:r>
      <w:r w:rsidR="00157784">
        <w:rPr>
          <w:bCs/>
          <w:sz w:val="24"/>
        </w:rPr>
        <w:t>43.1</w:t>
      </w:r>
      <w:r w:rsidR="00FC43F5" w:rsidRPr="00157784">
        <w:rPr>
          <w:bCs/>
          <w:sz w:val="24"/>
        </w:rPr>
        <w:t>)</w:t>
      </w:r>
      <w:r w:rsidRPr="00157784">
        <w:rPr>
          <w:bCs/>
          <w:sz w:val="24"/>
        </w:rPr>
        <w:t xml:space="preserve"> of the </w:t>
      </w:r>
      <w:r w:rsidRPr="00157784">
        <w:rPr>
          <w:b/>
          <w:sz w:val="24"/>
        </w:rPr>
        <w:t>Statute Law Revision Act 2011</w:t>
      </w:r>
      <w:r w:rsidRPr="00157784">
        <w:rPr>
          <w:bCs/>
          <w:sz w:val="24"/>
        </w:rPr>
        <w:t xml:space="preserve">, No. </w:t>
      </w:r>
      <w:r w:rsidR="00FA3DD2">
        <w:rPr>
          <w:bCs/>
          <w:sz w:val="24"/>
        </w:rPr>
        <w:t>29</w:t>
      </w:r>
      <w:r w:rsidRPr="00157784">
        <w:rPr>
          <w:bCs/>
          <w:sz w:val="24"/>
        </w:rPr>
        <w:t xml:space="preserve">/2011.  Schedule 1 item </w:t>
      </w:r>
      <w:r w:rsidR="00157784">
        <w:rPr>
          <w:bCs/>
          <w:sz w:val="24"/>
        </w:rPr>
        <w:t>43.1</w:t>
      </w:r>
      <w:r w:rsidRPr="00157784">
        <w:rPr>
          <w:bCs/>
          <w:sz w:val="24"/>
        </w:rPr>
        <w:t xml:space="preserve"> is deemed to have come into operation on </w:t>
      </w:r>
      <w:r w:rsidR="00157784">
        <w:rPr>
          <w:sz w:val="24"/>
        </w:rPr>
        <w:t>20 October 2009</w:t>
      </w:r>
      <w:r w:rsidRPr="00157784">
        <w:rPr>
          <w:bCs/>
          <w:sz w:val="24"/>
        </w:rPr>
        <w:t>.</w:t>
      </w:r>
      <w:r w:rsidRPr="00157784">
        <w:rPr>
          <w:bCs/>
          <w:sz w:val="24"/>
        </w:rPr>
        <w:br/>
        <w:t xml:space="preserve">Schedule 1 item </w:t>
      </w:r>
      <w:r w:rsidR="00157784">
        <w:rPr>
          <w:bCs/>
          <w:sz w:val="24"/>
        </w:rPr>
        <w:t>43.1</w:t>
      </w:r>
      <w:r w:rsidRPr="00157784">
        <w:rPr>
          <w:bCs/>
          <w:sz w:val="24"/>
        </w:rPr>
        <w:t xml:space="preserve"> reads as follows:</w:t>
      </w:r>
    </w:p>
    <w:p w:rsidR="00F103A0" w:rsidRPr="00157784" w:rsidRDefault="00F103A0" w:rsidP="00F103A0">
      <w:pPr>
        <w:rPr>
          <w:bCs/>
          <w:sz w:val="24"/>
        </w:rPr>
      </w:pPr>
    </w:p>
    <w:p w:rsidR="00A67CD0" w:rsidRDefault="00A67CD0" w:rsidP="00A67CD0">
      <w:pPr>
        <w:pStyle w:val="Default"/>
        <w:tabs>
          <w:tab w:val="left" w:pos="851"/>
        </w:tabs>
        <w:spacing w:before="120"/>
        <w:ind w:left="426" w:hanging="426"/>
      </w:pPr>
      <w:r w:rsidRPr="00157784">
        <w:tab/>
      </w:r>
      <w:r>
        <w:rPr>
          <w:b/>
          <w:bCs/>
        </w:rPr>
        <w:t>43</w:t>
      </w:r>
      <w:r>
        <w:rPr>
          <w:b/>
          <w:bCs/>
        </w:rPr>
        <w:tab/>
        <w:t xml:space="preserve">Gambling Regulation Further Amendment Act 2009 </w:t>
      </w:r>
    </w:p>
    <w:p w:rsidR="00A67CD0" w:rsidRDefault="00A67CD0" w:rsidP="00A67CD0">
      <w:pPr>
        <w:pStyle w:val="BodySectionSub"/>
        <w:ind w:left="993" w:hanging="142"/>
      </w:pPr>
      <w:r>
        <w:t>43.1</w:t>
      </w:r>
      <w:r>
        <w:tab/>
        <w:t xml:space="preserve">In section 19(2), for "In section" </w:t>
      </w:r>
      <w:r w:rsidRPr="00C748BA">
        <w:rPr>
          <w:b/>
        </w:rPr>
        <w:t>substitute</w:t>
      </w:r>
      <w:r w:rsidRPr="00A67CD0">
        <w:t xml:space="preserve"> </w:t>
      </w:r>
      <w:r>
        <w:t xml:space="preserve">"After section". </w:t>
      </w:r>
    </w:p>
    <w:p w:rsidR="00157784" w:rsidRDefault="00157784">
      <w:pPr>
        <w:rPr>
          <w:sz w:val="24"/>
        </w:rPr>
      </w:pPr>
    </w:p>
    <w:sectPr w:rsidR="00157784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A04"/>
    <w:rsid w:val="000E7DCF"/>
    <w:rsid w:val="00157784"/>
    <w:rsid w:val="00346184"/>
    <w:rsid w:val="00496C3F"/>
    <w:rsid w:val="004A126F"/>
    <w:rsid w:val="00601A59"/>
    <w:rsid w:val="00675AFD"/>
    <w:rsid w:val="006E4E2A"/>
    <w:rsid w:val="006E73B9"/>
    <w:rsid w:val="00737ADF"/>
    <w:rsid w:val="00742A80"/>
    <w:rsid w:val="00747BBC"/>
    <w:rsid w:val="0077177E"/>
    <w:rsid w:val="00816D0E"/>
    <w:rsid w:val="0083023D"/>
    <w:rsid w:val="008435F0"/>
    <w:rsid w:val="0094407D"/>
    <w:rsid w:val="00A67CD0"/>
    <w:rsid w:val="00A87CEC"/>
    <w:rsid w:val="00A92D6F"/>
    <w:rsid w:val="00A9495B"/>
    <w:rsid w:val="00BD073D"/>
    <w:rsid w:val="00C748BA"/>
    <w:rsid w:val="00D6225E"/>
    <w:rsid w:val="00DC2706"/>
    <w:rsid w:val="00E04A54"/>
    <w:rsid w:val="00E621DB"/>
    <w:rsid w:val="00E90803"/>
    <w:rsid w:val="00F103A0"/>
    <w:rsid w:val="00F56F40"/>
    <w:rsid w:val="00FA3DD2"/>
    <w:rsid w:val="00FC43F5"/>
    <w:rsid w:val="00FD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2">
    <w:name w:val="Amend. Heading 2"/>
    <w:next w:val="Normal"/>
    <w:link w:val="AmendHeading2Char"/>
    <w:rsid w:val="00157784"/>
    <w:pPr>
      <w:spacing w:before="120"/>
    </w:pPr>
    <w:rPr>
      <w:sz w:val="24"/>
    </w:rPr>
  </w:style>
  <w:style w:type="character" w:customStyle="1" w:styleId="AmendHeading2Char">
    <w:name w:val="Amend. Heading 2 Char"/>
    <w:basedOn w:val="BodySectionSubChar"/>
    <w:link w:val="AmendHeading2"/>
    <w:rsid w:val="00157784"/>
  </w:style>
  <w:style w:type="paragraph" w:customStyle="1" w:styleId="AmendHeading1s">
    <w:name w:val="Amend. Heading 1s"/>
    <w:next w:val="Normal"/>
    <w:link w:val="AmendHeading1sChar"/>
    <w:rsid w:val="00157784"/>
    <w:pPr>
      <w:spacing w:before="120"/>
    </w:pPr>
    <w:rPr>
      <w:sz w:val="24"/>
    </w:rPr>
  </w:style>
  <w:style w:type="character" w:customStyle="1" w:styleId="AmendHeading1sChar">
    <w:name w:val="Amend. Heading 1s Char"/>
    <w:basedOn w:val="AmendHeading2Char"/>
    <w:link w:val="AmendHeading1s"/>
    <w:rsid w:val="00157784"/>
  </w:style>
  <w:style w:type="paragraph" w:customStyle="1" w:styleId="Default">
    <w:name w:val="Default"/>
    <w:rsid w:val="00A67C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901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2011-06-20T02:29:00Z</dcterms:created>
  <dcterms:modified xsi:type="dcterms:W3CDTF">2011-06-20T02:29:00Z</dcterms:modified>
</cp:coreProperties>
</file>